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Dyplomowa/ Master of Science Thesis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przez studenta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 oraz 1 sem. na II stopniu nauczania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Synteza zdobytej wiedzy w obszarze nauczania na kierunku inżynieria materiałowa w obszarze wybranej specjalności. Zapoznanie studentów z metodyką pracy naukowej (wybór i formułowanie tezy naukowej, analiza aktualnego stanu wiedzy, opracowanie metodyki badań, weryfikacja i krytyczna dyskusja otrzymanych wyników badań). Zapoznanie studenta z zasadami pisania naukowych tekstów technicznych oraz informatycznymi zasobami literatury naukowej.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1. Formułowaniem i wyborem problemu naukowego 2. Doborem metod badań i weryfikacji tezy naukowej 3. Krytyczną analizą otrzymanych wyników badań naukowych 4. Analizą aktualnego stanu wiedzy w obszarze wybranej dyscypliny naukowej 5. Posługiwaniem się nowoczesnymi informatycznymi zasobami bazy naukowej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aktywności studenta podczas realizacji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 – według zaleceń promotora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z zakresu z danych literaturowych chronionych prawem autorskim lub patentowym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przygotować i przedstawić krótkie opracowanie swojej pracy w języku polskim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IM2_U03, IM2_U04, IM2_U05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Posiada umiejętność przeprowadzenia analizy literaturowej w języku polskim i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IM2_U04, IM2_U06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jasno sformułować i zrealizować cele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syntetycznie podsumować przeprowadzoną analizę i zaproponowac kierunki dalszych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IM2_U05, IM2_U08, IM2_U09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I.P7S_UU, I.P7S_UW, III.P7S_UW.1.o, III.P7S_UW.4.o,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U5: </w:t>
      </w:r>
    </w:p>
    <w:p>
      <w:pPr/>
      <w:r>
        <w:rPr/>
        <w:t xml:space="preserve">Potrafi posługiwać się różnymi technikami, metodami, narzędziami niezbędnymi do rozwiązania zadanego problemu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IM2_U21, IM2_U19, IM2_U20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III.P7S_UW.4.o, I.P7S_UW, III.P7S_UW.2.o, III.P7S_UW.3.o,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poszerzania zakresu swojej wiedzy wobec pojawiających się wyzwań, konieczności rozwiązywania nowych zaistniałych problemów. Potrafi odpowiednio określić priorytety służące realizacji określonego przez siebie zadania. Prawidłowo identyfikuje dylematy związane z wykonywaniem zawodu. Ma świadomość roli społecznej absolwenta uczelni technicznej, rozumie potrzebę przekazywania w sposób zrozumiały informacji o osiągniętych rezultatach społeczeństwu, światu nauki, z uwzględnieniem zasad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IM2_K04, IM2_K05, IM2_K07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2025-05-13T17:44:14+02:00</dcterms:created>
  <dcterms:modified xsi:type="dcterms:W3CDTF">2025-05-13T17:44:14+02:00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