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Materials Desing - Fundamentals</w:t>
      </w:r>
    </w:p>
    <w:p>
      <w:pPr>
        <w:keepNext w:val="1"/>
        <w:spacing w:after="10"/>
      </w:pPr>
      <w:r>
        <w:rPr>
          <w:b/>
          <w:bCs/>
        </w:rPr>
        <w:t xml:space="preserve">Koordynator przedmiotu: </w:t>
      </w:r>
    </w:p>
    <w:p>
      <w:pPr>
        <w:spacing w:before="20" w:after="190"/>
      </w:pPr>
      <w:r>
        <w:rPr/>
        <w:t xml:space="preserve">dr hab.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PPMAT</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30 godz. wykładów i 20 godz. samodzielnej pracy studenta (zapoznanie się ze wskazaną literaturą i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w tematykę wykładu i laboratorium: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
Przedmiot prowadzony z wykorzystaniem nowoczesnych metod projektowania i kształcenia - Design Thinking</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z zakresu metod numerycznych, systemów komputerowego wspomagania doboru materiałów (CAMS), systemów komputerowego wspomagania projektowania materiałowego CAMD (Computer Aided Materials Design), systemów komputerowego wspomagania projektowania technologii wytwarzania i przetwórstwa materiałów CAM (Computer Aided Manufacturing), baz danych materiałowych i zasad ich wykorzystywania.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IM2_W04, IM2_W11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Ma rozszerzoną wiedzę z zakresu fizyki molekularnej, mechaniki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Ma rozszerzoną wiedzę w zakresie metodologii projektowania materiałów, projektowania materiału z uwzględnieniem aspektów związanych z docelowym przeznaczeniem materiału, cyklu życia materiału, aspektów ekonomicznych i ekologicznych. Posiada wiedzę z zakresu projektowania materiałów do zastosowań biomedycznych. Posiada wiedzę z zakresu przeprowadzania kontroli jakości materiałów i metod ich wytwarzania.</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IM2_W08, IM2_W09, IM2_W11, IM2_W12</w:t>
      </w:r>
    </w:p>
    <w:p>
      <w:pPr>
        <w:spacing w:before="20" w:after="190"/>
      </w:pPr>
      <w:r>
        <w:rPr>
          <w:b/>
          <w:bCs/>
        </w:rPr>
        <w:t xml:space="preserve">Powiązane charakterystyki obszarowe: </w:t>
      </w:r>
      <w:r>
        <w:rPr/>
        <w:t xml:space="preserve">I.P7S_WG, III.P7S_WG.o,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lub w wyniku przeprowadzonej analizy fachowej literatury student potrafi wykorzystać wiedzę oraz metody projektowania numerycznego do formułowania i rozwiązywania problemów inżynierskich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IM2_U05, IM2_U08, IM2_U09, IM2_U10, IM2_U11, IM2_U12, IM2_U17, IM2_U01</w:t>
      </w:r>
    </w:p>
    <w:p>
      <w:pPr>
        <w:spacing w:before="20" w:after="190"/>
      </w:pPr>
      <w:r>
        <w:rPr>
          <w:b/>
          <w:bCs/>
        </w:rPr>
        <w:t xml:space="preserve">Powiązane charakterystyki obszarowe: </w:t>
      </w:r>
      <w:r>
        <w:rPr/>
        <w:t xml:space="preserve">I.P7S_UU, I.P7S_UW, III.P7S_UW.1.o, III.P7S_UW.4.o, III.P7S_UW.2.o,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2025-11-01T23:38:24+01:00</dcterms:created>
  <dcterms:modified xsi:type="dcterms:W3CDTF">2025-11-01T23:38:24+01:00</dcterms:modified>
</cp:coreProperties>
</file>

<file path=docProps/custom.xml><?xml version="1.0" encoding="utf-8"?>
<Properties xmlns="http://schemas.openxmlformats.org/officeDocument/2006/custom-properties" xmlns:vt="http://schemas.openxmlformats.org/officeDocument/2006/docPropsVTypes"/>
</file>