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Kaszuwara, 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obecność na wykładach - 15 godz., praca własna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MI_W1: </w:t>
      </w:r>
    </w:p>
    <w:p>
      <w:pPr/>
      <w:r>
        <w:rPr/>
        <w:t xml:space="preserve">Posiada wiedzę dotyczącą materiałów inteligentnych oraz poszczególnych grup materiałów określanych tym terminem. Zna podstawowe zakresy zmian właściwości materiałów inteligentnych oraz ich zastosowania. Rozumie relacje pomiędzy budowa materiałów inteligentnych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2026-08-20T04:29:00+02:00</dcterms:created>
  <dcterms:modified xsi:type="dcterms:W3CDTF">2026-08-20T04:29:00+02:00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