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pracy na zajęciach, 5 h związanych z przyswojeniem materiałów wykładu i 8 h związanych z przygotowaniem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funkcjonalne stosowane w elektronice i optoelektronice, medycynie,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kolokwium i przedstawienie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1998. 2. W. H. Szlezyngier Tworzywa sztuczne, t.III, FOSZE, Rzeszów 1996. 3.W. Królikowski, Polimerowe materiały specjalne, Wydawnictwo Uczelniane Politechniki Szczecińskiej, Szczecin, 1998. 4. H. Saechtling , Tworzywa sztuczne-poradnik, WNT, Warszawa 2000. 5. E. Hałasa, M. Heneczkowski, Wprowadzenie do inżynierii termoodpornych materiałów polimerowych, 6.G.W Ehrenstein, Ż. Brocka-Krzemińska, Materiały polimerowe, Struktura właściwości zastosowanie, PWN, Warszawa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POLF_W1: </w:t>
      </w:r>
    </w:p>
    <w:p>
      <w:pPr/>
      <w:r>
        <w:rPr/>
        <w:t xml:space="preserve">Posiada wiedzę o różnych grupach polimerów funkcjonalnych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IM1_W05, IM1_W08, IM1_W09,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POLF_W2: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IM1_W05, IM1_W08, IM1_W09,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POLF_U1: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POLF_U2: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POLF_KS1: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2025-06-20T04:13:53+02:00</dcterms:created>
  <dcterms:modified xsi:type="dcterms:W3CDTF">2025-06-20T04:13:53+02:00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