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
1. M. F. Ashby, D. R. H. Jones, „Materiały Inżynierskie”, WNT, 1996, część II.
2. K. Przybyłowicz, „Metaloznawstwo Teoretyczne”, skrypt AGH nr 984, Kraków, 1985. 
3. R. Pampuch, „Zarys Nauki o Materiałach – materiały ceramiczne”, PWN, 1997.
4. M.F.Ashby, „Materials Selection in Mechanical Design”, Pregamon Press, 1992, F.Wojtkun. 
5. J.P.Sołncew, „Materiały Specjalnego przeznaczenia”, Wyd.PR, Radom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PTNiK_W2: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IM1_W07, IM1_W08, IM1_W09,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PTNiK_W3: </w:t>
      </w:r>
    </w:p>
    <w:p>
      <w:pPr/>
      <w:r>
        <w:rPr/>
        <w:t xml:space="preserve">Ma podstawową wiedzę o trwałości i niezawodności,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IM1_U03, IM1_U04, IM1_U05, IM1_U07, IM1_U01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I.P6S_UU, I.P6S_UW,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PTNiK_K1: </w:t>
      </w:r>
    </w:p>
    <w:p>
      <w:pPr/>
      <w:r>
        <w:rPr/>
        <w:t xml:space="preserve">	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2025-11-05T19:00:58+01:00</dcterms:created>
  <dcterms:modified xsi:type="dcterms:W3CDTF">2025-11-05T19:00:58+01:00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