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Bartłomiej Skowron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    Virtue Ethics, 
    Moral relativism and moral nihilism, 
    Utilitarianism,   
    Human dignity and human rights,
    Value Theory,
    Abortion,
    Deciding between patients,
    Medical Decisions at the End of Life,
    Clonning,
    Death, Brain Death, and Persistent Vegetative State,
    Assisted reproduction, parental testing and sex selection,
    The moral status of animals.   </w:t>
      </w:r>
    </w:p>
    <w:p>
      <w:pPr>
        <w:keepNext w:val="1"/>
        <w:spacing w:after="10"/>
      </w:pPr>
      <w:r>
        <w:rPr>
          <w:b/>
          <w:bCs/>
        </w:rPr>
        <w:t xml:space="preserve">Metody oceny: </w:t>
      </w:r>
    </w:p>
    <w:p>
      <w:pPr>
        <w:spacing w:before="20" w:after="190"/>
      </w:pPr>
      <w:r>
        <w:rPr/>
        <w:t xml:space="preserve">Activity during the classroom (participation in discussion, presentation of bioethical views, formulation of arguments for and against ethical opinions). Due to the discussion format of this course, regular attendance and active participation are required.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 companion to bioethics, Helga Kuhse, Peter Singer (ed.), Blackwell Publishing, 2009.
    Copp, David (ed.). The Oxford Handbook of Ethical Theory. New York: Oxford University Press, 2006.
    Ethical Theory, An Anthology, ed. Russ Shafer-Landau, Chichester, West Sussex; Malden, MA: Wiley-Blackwell, 2013.
    Judith Javis Thomson, Killing, letting die and trolley problem,  in: The Monist, 59, 1976.   https://www.jstor.org/stable/27902416
    Philip Blosser, Max Scheler: A Sketch of His Moral Philosophy,  in PHENOMENOLOGICAL APPROACHES TO MORAL PHILOSOPHY. A Handbook, ed. JOHN J. DRUMMOND and LESTER EMBREE.
    Roberto Andorno, Human dignity and human rights as a common ground for a global bioethics, „Journal of Medicina and Philosophy”, 2009.  https://www.ncbi.nlm.nih.gov/pubmed/19386998   
    Lewin K., Principles of topological psychology, New York, NY, US: McGraw-Hill.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The teacher makes literature available to students in electronic form.</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2024-05-02T18:32:40+02:00</dcterms:created>
  <dcterms:modified xsi:type="dcterms:W3CDTF">2024-05-02T18:32:40+02:00</dcterms:modified>
</cp:coreProperties>
</file>

<file path=docProps/custom.xml><?xml version="1.0" encoding="utf-8"?>
<Properties xmlns="http://schemas.openxmlformats.org/officeDocument/2006/custom-properties" xmlns:vt="http://schemas.openxmlformats.org/officeDocument/2006/docPropsVTypes"/>
</file>