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instalacji tryskaczowych</w:t>
      </w:r>
    </w:p>
    <w:p>
      <w:pPr>
        <w:keepNext w:val="1"/>
        <w:spacing w:after="10"/>
      </w:pPr>
      <w:r>
        <w:rPr>
          <w:b/>
          <w:bCs/>
        </w:rPr>
        <w:t xml:space="preserve">Koordynator przedmiotu: </w:t>
      </w:r>
    </w:p>
    <w:p>
      <w:pPr>
        <w:spacing w:before="20" w:after="190"/>
      </w:pPr>
      <w:r>
        <w:rPr/>
        <w:t xml:space="preserve">dr inż. Agnieszka Malesińska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- 16 godz., ćwiczenia projektowe - 8 godz., przygotowanie do zajęć projektowych - 5 godz., zapoznanie się z literaturą - 5 godz., przygotowanie projektu i obrona - 10 godz., przygotowanie do zaliczenia i obecność na nim - 10 godz. Razem: 54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Instalacje wodociągowe</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zdobycie przez studentów wiedzy teoretycznej oraz umiejętności praktycznego jej zastosowania na temat projektowania instalacji tryskaczowych według stosowanych przepisów, ze wskazaniem i uwypukleniem różnic w wymaganiach stawianych przeciwpożarowym instalacjom tryskaczowym w poszczególnych przepisach, normach i wytycznych. Opanowana przez studenta wiedza pozwoli mu na samodzielne wykonanie obliczeń dla prostego układu instalacji oraz pozwoli zrozumieć specyfikę pracy instalacji przeciwpożarowej oraz jej współpracy z innymi instalacjami wewnętrznymi (instalacja oddymiająca).
</w:t>
      </w:r>
    </w:p>
    <w:p>
      <w:pPr>
        <w:keepNext w:val="1"/>
        <w:spacing w:after="10"/>
      </w:pPr>
      <w:r>
        <w:rPr>
          <w:b/>
          <w:bCs/>
        </w:rPr>
        <w:t xml:space="preserve">Treści kształcenia: </w:t>
      </w:r>
    </w:p>
    <w:p>
      <w:pPr>
        <w:spacing w:before="20" w:after="190"/>
      </w:pPr>
      <w:r>
        <w:rPr/>
        <w:t xml:space="preserve">W zakresie przedmiotu omawiane są zagadnienia: budowa i zasada działania instalacji tryskaczowych, wymagania formalno-prawne z zakresu instalacji tryskaczowych (Ustawy, rozporządzenia, PN-EN 12 845, VdS, NFPA13, FM Global), omówienie podstawowych parametrów projektowych instalacji tryskaczowych według różnych przepisów, rodzaje tryskaczy, parametry pracy tryskaczy (np. RTI, rodzaj zamka, itp.), omówienie procesu projektowania instalacji tryskaczowych( np. powierzchnia działania, powierzchnia obliczeniowa, klasa zagrożenia pożarowego, itd.), zawieszenie instalacji tryskaczowych według różnych przepisów, zawory kontrolno-alarmowe, zaopatrzenie w wodę, pompownie przeciwpożarowe (podstawy, różnice w podejściu np. według VdS a NFPA13). Przykład obliczeniowy.</w:t>
      </w:r>
    </w:p>
    <w:p>
      <w:pPr>
        <w:keepNext w:val="1"/>
        <w:spacing w:after="10"/>
      </w:pPr>
      <w:r>
        <w:rPr>
          <w:b/>
          <w:bCs/>
        </w:rPr>
        <w:t xml:space="preserve">Metody oceny: </w:t>
      </w:r>
    </w:p>
    <w:p>
      <w:pPr>
        <w:spacing w:before="20" w:after="190"/>
      </w:pPr>
      <w:r>
        <w:rPr/>
        <w:t xml:space="preserve">Zaliczenie projektu: wykonanie i obrona projektu (40%), część wykładowa przedmiotu zaliczana jest pisemnie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Malesińska: Projektowanie instalacji tryskaczowej, Wydawnictwo Naukowe PWN, Warszawa 2018 r., ustawy,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2024-04-30T17:13:40+02:00</dcterms:created>
  <dcterms:modified xsi:type="dcterms:W3CDTF">2024-04-30T17:13:40+02:00</dcterms:modified>
</cp:coreProperties>
</file>

<file path=docProps/custom.xml><?xml version="1.0" encoding="utf-8"?>
<Properties xmlns="http://schemas.openxmlformats.org/officeDocument/2006/custom-properties" xmlns:vt="http://schemas.openxmlformats.org/officeDocument/2006/docPropsVTypes"/>
</file>