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Przepływ ładunków w systemach logistycznych 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Michał Kłodawski,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wykładzie: 18 godz., zapoznanie się ze wskazaną literaturą: 17 godz., przygotowanie do kolokwiów: 20 godz., konsultacje do wykładu: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(24 godz., w tym: praca na wykładzie: 18 godz., konsultacje do wykładu: 5 godz., kolokwium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z zakresu ogólnych zasad przemieszczania ładunków oraz kształtowania podstawowych układów logistycznych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o systematyce układów i systemów logistycznych oraz łańcuchów dostaw, a także procedurach ich organizacji i zarządzania.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Syntetyczne ujęcie wiedzy o systemach logistycznych oraz łańcuchach dostaw. Systemy logistyczne w przemyśle, dystrybucji i handlu. Procedury i zasady przekształceń strumieni ładunków oraz strumieni informacji. Omówienie i analiza modeli przepływu strumieni ładunków i informacji w układach i systemach logistycznych. Omówienie sposobów zarządzania przepływem materiałów w systemach logistycznych i łańcuchach dostaw. Przedstawienie strategii zaopatrzeniowych, zakupowych i produkcyjnych stosowanych w przedsiębiortwach oraz sposobów sprzedaży i dystrybucji materiałów.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zaliczeniowe pisemne w formie pytań otwartych bądź testowych (w tym 1 kolokwium poprawkowe) w trakcie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Fijałkowski J., Transport wewnętrzny w systemach logistycznych. Wybrane zagadnienia, WPW, W-wa 2003, rozdziały 9-13. 
2) Jacyna M. (red.), System Logistyczny Polski. Uwarunkowania techniczno-technologiczne komodalności transportu, Oficyna Wydawnicza PW, Warszawa, 2012
3) Pfohl H.Ch., Systemy logistyczne. Podstawy organizacji i zarządzania, Biblioteka logistyka, Poznań 1998,
4) Coyle John J., Bardi Edward J., Langley Jr. C. John, Zarządzanie logistyczne, Polskie Wydawnictwo Ekonomiczne, Warszawa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	: </w:t>
      </w:r>
    </w:p>
    <w:p>
      <w:pPr/>
      <w:r>
        <w:rPr/>
        <w:t xml:space="preserve">Ma podbudowaną teoretycznie wiedzę o strukturze systemów logistycznych w przemyśle, dystrybucji i handlu.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w formie pytań otwartych lub pytań testowych. W obu przypadkach  wymagane jest udzielenie odpowiedzi na co najmniej 51% zadanych pytań (bądź w co najmniej połowie odpowiedzieć na zadane pytanie) dotyczących danego efektu kształcenia.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	: </w:t>
      </w:r>
    </w:p>
    <w:p>
      <w:pPr/>
      <w:r>
        <w:rPr/>
        <w:t xml:space="preserve">Zna zasady zarządzania łańcuchem dostaw i przedsiębiorstwem w celu zwiększenia atrakcyjności ich usług dla klientów.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w formie pytań otwartych lub pytań testowych. W obu przypadkach  wymagane jest udzielenie odpowiedzi na co najmniej 51% zadanych pytań (bądź w co najmniej połowie odpowiedzieć na zadane pytanie) dotyczących danego efektu kształcenia.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Tr1A_W13,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I.P6S_WG</w:t>
      </w:r>
    </w:p>
    <w:p>
      <w:pPr>
        <w:keepNext w:val="1"/>
        <w:spacing w:after="10"/>
      </w:pPr>
      <w:r>
        <w:rPr>
          <w:b/>
          <w:bCs/>
        </w:rPr>
        <w:t xml:space="preserve">Charakterystyka W03	: </w:t>
      </w:r>
    </w:p>
    <w:p>
      <w:pPr/>
      <w:r>
        <w:rPr/>
        <w:t xml:space="preserve">Zna strategie wytwarzania produktów w łańcuchach dostaw i ich wpływ na procesy logistyczne.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w formie pytań otwartych lub pytań testowych. W obu przypadkach  wymagane jest udzielenie odpowiedzi na co najmniej 51% zadanych pytań (bądź w co najmniej połowie odpowiedzieć na zadane pytanie) dotyczących danego efektu kształcenia.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podstawowe procesy transportowe i logistyczne zachodzące w łańcuchach dostaw i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w formie pytań otwartych lub pytań testowych. W obu przypadkach  wymagane jest udzielenie odpowiedzi na co najmniej 51% zadanych pytań (bądź w co najmniej połowie odpowiedzieć na zadane pytanie) dotyczących danego efektu kształcenia.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	: </w:t>
      </w:r>
    </w:p>
    <w:p>
      <w:pPr/>
      <w:r>
        <w:rPr/>
        <w:t xml:space="preserve">Potrafi dobrać strategię zarządzania łańcuchem dostaw do jego specyfiki, branży i otoczenia gospodarczego.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w formie pytań otwartych lub pytań testowych. W obu przypadkach  wymagane jest udzielenie odpowiedzi na co najmniej 51% zadanych pytań (bądź w co najmniej połowie odpowiedzieć na zadane pytanie) dotyczących danego efektu kształcenia.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2024-05-05T16:21:24+02:00</dcterms:created>
  <dcterms:modified xsi:type="dcterms:W3CDTF">2024-05-05T16:21:24+02:00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