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TR.NIS718</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godziny wykładu 18 godz., studiowanie literatury 41 godz., konsultacje 1 godz., przygotowanie do egzaminu 28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godziny wykładu 18 godz., konsultacje 1 godz., udział w egzaminach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wysokiego ciśnienia, regulatory ciśnienia,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w:t>
      </w:r>
    </w:p>
    <w:p>
      <w:pPr>
        <w:keepNext w:val="1"/>
        <w:spacing w:after="10"/>
      </w:pPr>
      <w:r>
        <w:rPr>
          <w:b/>
          <w:bCs/>
        </w:rPr>
        <w:t xml:space="preserve">Metody oceny: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
2.	Günter H.: Diagnozowanie silników wysokoprężnych, WKŁ, Warszawa 2002.
3.	Kasedorf J., Woisetschläger E.: Układy wtryskowe benzyny. Sprawdzanie i regulacja, Wyd. 2, WKŁ, Warszawa 2000.
4.	Lozia Z. (red.) Diagnostyka samochodowa. Laboratorium, Oficyna Wydawnicza Politechniki Warszawskiej, Warszawa 2015; ISBN: 978-83-7814-322-2.
5.	Niziński St. (red.). Diagnostyka samochodów osobowych i ciężarowych, Dom Wydawniczy Bellona, Warszawa 1999.
6.	Merkisz J., Mazurek St.: Pokładowe systemy diagnostyczne pojazdów samochodowych, WKŁ, Warszawa 2002.
7.	Rokosch U.: Układy oczyszczania spalin i pokładowe systemy diagnostyczne samochodów, WKŁ, Warszawa 2007.
8.	Trzeciak K., Diagnostyka samochodów osobowych, WKŁ, Warszawa 2010.
9.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o procesach fizycznych towarzyszących pracy pojazdu samochodowego jako całości, jego układów, zespołów i podzespołów.</w:t>
      </w:r>
    </w:p>
    <w:p>
      <w:pPr>
        <w:spacing w:before="60"/>
      </w:pPr>
      <w:r>
        <w:rPr/>
        <w:t xml:space="preserve">Weryfikacja: </w:t>
      </w:r>
    </w:p>
    <w:p>
      <w:pPr>
        <w:spacing w:before="20" w:after="190"/>
      </w:pPr>
      <w:r>
        <w:rPr/>
        <w:t xml:space="preserve">W części pisemnej i ustnej egzaminu łącznie dwa pytania otwarte lub ich fragmenty dotyczące wiedzy teoretycznej o procesach fizycznych, towarzyszących pracy pojazdu samochodowego jako całości, jego układów, zespołów i podzespołów, wymagane jest uzyskanie 50% maksymalnej liczby punktów.</w:t>
      </w:r>
    </w:p>
    <w:p>
      <w:pPr>
        <w:spacing w:before="20" w:after="190"/>
      </w:pPr>
      <w:r>
        <w:rPr>
          <w:b/>
          <w:bCs/>
        </w:rPr>
        <w:t xml:space="preserve">Powiązane charakterystyki kierunkowe: </w:t>
      </w:r>
      <w:r>
        <w:rPr/>
        <w:t xml:space="preserve">Tr1A_W11, Tr1A_W09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W02: </w:t>
      </w:r>
    </w:p>
    <w:p>
      <w:pPr/>
      <w:r>
        <w:rPr/>
        <w:t xml:space="preserve">Zna podstawowe pojęcia związane z diagnozowaniem obiektów technicznych, a w szczególności pojazdów samochodowych oraz ma szczegółową wiedzę o parametrach diagnostycznych określających funkcjonowanie pojazdu samochodowego jako całości, jego układów, zespołów i podzespołów</w:t>
      </w:r>
    </w:p>
    <w:p>
      <w:pPr>
        <w:spacing w:before="60"/>
      </w:pPr>
      <w:r>
        <w:rPr/>
        <w:t xml:space="preserve">Weryfikacja: </w:t>
      </w:r>
    </w:p>
    <w:p>
      <w:pPr>
        <w:spacing w:before="20" w:after="190"/>
      </w:pPr>
      <w:r>
        <w:rPr/>
        <w:t xml:space="preserve">W części pisemnej i ustnej egzaminu łącznie dwa pytania otwarte lub ich fragmenty dotyczące podstawowych pojęć związanych zdiagnozowaniem obiektów technicznych, a w szczególności pojazdów samochodowych oraz parametrów diagnostycznych określających funkcjonowanie pojazdu samochodowego jako całości, jego układów, zespołów i podzespołów,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 części pisemnej i ustnej egzaminu łącznie dwa pytania otwarte lub ich fragmenty dotyczące kryteriów oraz metody oceny stanu technicznego pojazdu samochodowego jako całości, jego układów, zespołów i podzespołów, wymagane jest uzyskanie 50% maksymalnej liczby punktów.</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 części pisemnej i ustnej egzaminu łącznie dwa pytania otwarte lub ich fragmenty dotyczące budowy, a także zasady działania stanowisk badawczych i urządzeń pomiarowych stosowanych przy diagnozowaniu pojazdów oraz znajomości idei stosowania, pełnionych zadań i zasady działania systemu diagnostyki pokładowej (OBD i EOBD) w pojazdach samochodowych,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 części pisemnej i ustnej egzaminu łącznie dwa pytania otwarte lub ich fragmenty dotyczące umiejętności pozyskiwania informacji z literatury w zakresie diagnozowania pojazdów samochodowych, wymagane jest uzyskanie 50% maksymalnej liczby punktów.</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wstępnie planować pomiary dotyczące diagnozowania samochodów, interpretować uzyskane wyniki i wyciągać wnioski.</w:t>
      </w:r>
    </w:p>
    <w:p>
      <w:pPr>
        <w:spacing w:before="60"/>
      </w:pPr>
      <w:r>
        <w:rPr/>
        <w:t xml:space="preserve">Weryfikacja: </w:t>
      </w:r>
    </w:p>
    <w:p>
      <w:pPr>
        <w:spacing w:before="20" w:after="190"/>
      </w:pPr>
      <w:r>
        <w:rPr/>
        <w:t xml:space="preserve">W części pisemnej i ustnej egzaminu łącznie dwa pytania otwarte lub ich fragmenty dotyczące umiejętności wstępnego planowania pomiarów związanych z diagnozowaniem samochodów, interpretowania uzyskanych wyników i wyciągania wniosków, wymagane jest uzyskanie 50% maksymalnej liczby punktów.</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 części pisemnej i ustnej egzaminu łącznie dwa pytania otwarte lub ich fragmenty dotyczące umiejętności wykorzystania poznanych metod oceny stanu technicznego pojazdu do lokalizowania jego niesprawności, wymagane jest uzyskanie 50% maksymalnej liczby punktów.</w:t>
      </w:r>
    </w:p>
    <w:p>
      <w:pPr>
        <w:spacing w:before="20" w:after="190"/>
      </w:pPr>
      <w:r>
        <w:rPr>
          <w:b/>
          <w:bCs/>
        </w:rPr>
        <w:t xml:space="preserve">Powiązane charakterystyki kierunkowe: </w:t>
      </w:r>
      <w:r>
        <w:rPr/>
        <w:t xml:space="preserve">Tr1A_U18, Tr1A_U11</w:t>
      </w:r>
    </w:p>
    <w:p>
      <w:pPr>
        <w:spacing w:before="20" w:after="190"/>
      </w:pPr>
      <w:r>
        <w:rPr>
          <w:b/>
          <w:bCs/>
        </w:rPr>
        <w:t xml:space="preserve">Powiązane charakterystyki obszarowe: </w:t>
      </w:r>
      <w:r>
        <w:rPr/>
        <w:t xml:space="preserve">I.P6S_UW, III.P6S_UW.3.o,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2026-02-27T18:01:14+01:00</dcterms:created>
  <dcterms:modified xsi:type="dcterms:W3CDTF">2026-02-27T18:01:14+01:00</dcterms:modified>
</cp:coreProperties>
</file>

<file path=docProps/custom.xml><?xml version="1.0" encoding="utf-8"?>
<Properties xmlns="http://schemas.openxmlformats.org/officeDocument/2006/custom-properties" xmlns:vt="http://schemas.openxmlformats.org/officeDocument/2006/docPropsVTypes"/>
</file>