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ML.PR_A_W1: </w:t>
      </w:r>
    </w:p>
    <w:p>
      <w:pPr/>
      <w:r>
        <w:rPr/>
        <w:t xml:space="preserve">Ma wiedzę niezbędną do rozumienia pozatechnicznych uwarunkowań działalności inżynierskiej, zna zasady bezpieczeństwa i higieny pracy w przemyśle związanym z automatyką i robotyką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ze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AiR1_U02,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ML.PR_A_U3: </w:t>
      </w:r>
    </w:p>
    <w:p>
      <w:pPr/>
      <w:r>
        <w:rPr/>
        <w:t xml:space="preserve">Ma przygotowanie niezbędne do pracy w środowisku przemysłowym oraz stosuje zasady bezpieczeństwa związane z tą pracą.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ML.PR_A_K2: </w:t>
      </w:r>
    </w:p>
    <w:p>
      <w:pPr/>
      <w:r>
        <w:rPr/>
        <w:t xml:space="preserve">Potrafi współdziałać i pracować w grupie, przyjmując w niej różne role.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ML.PR_A_K4: </w:t>
      </w:r>
    </w:p>
    <w:p>
      <w:pPr/>
      <w:r>
        <w:rPr/>
        <w:t xml:space="preserve">Potrafi myśleć i działać w sposób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2024-04-28T14:59:24+02:00</dcterms:created>
  <dcterms:modified xsi:type="dcterms:W3CDTF">2024-04-28T14:59:24+02:00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