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 &lt;br&gt;
1. Liczba godzin wymagających bezpośredniego kontaktu z opiekunem: 150, w tym: &lt;br&gt;
a) spotkania i konsultacje - 149 godz., &lt;br&gt;
b) zaliczenie przedmiotu - 1 godz.  &lt;br&gt;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 &lt;br&gt;
a) spotkania, konsultacje,praca w laboratorium itp. - 149 godz., &lt;br&gt;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 &lt;br&gt;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 &lt;br&gt;
2. Ustna obrona, podczas której student przed komisją liczącą, co najmniej 3 osoby w tym: promotor i recenzent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							Posiada rozległą wiedzę na wybrany temat w ramach kierunku.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							Potrafi skorzystać z literatury do poszukiwania wskazówek przy rozwiązywaniu wybranego problemu badawczego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							Potrafi samodzielnie rozwiązać proste zadanie inżynierskie.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							Potrafi samodzielnie przygotować sprawozdanie z pracy oraz w rozmowie obronić przedstawione tezy.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							Rozumie pozatechniczne aspekty pracy inżyniera, w tym: środowiskowe, ekonomiczne i prawne.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							Rozwijanie potrzeby samokształcenia się w celu osiągnięcia zamierzonego efektu.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ML.NW136_K2: </w:t>
      </w:r>
    </w:p>
    <w:p>
      <w:pPr/>
      <w:r>
        <w:rPr/>
        <w:t xml:space="preserve">							 Ma świadomość wagi pozatechnicznych aspektów i skutków działalności inżynierskiej, w tym: jej wpływu na środowisko i związanej z tym odpowiedzialności za podejmowane decyzje.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ML.NW136_K3: </w:t>
      </w:r>
    </w:p>
    <w:p>
      <w:pPr/>
      <w:r>
        <w:rPr/>
        <w:t xml:space="preserve">							Ma świadomość konieczności działania w sposób profesjonalny i przestrzegania zasad etyki zawodowej.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ML.NW136_K4: </w:t>
      </w:r>
    </w:p>
    <w:p>
      <w:pPr/>
      <w:r>
        <w:rPr/>
        <w:t xml:space="preserve">							Rozumie potrzebę przekazywania społeczeństwu – m.in. poprzez środki masowego przekazu – informacji o osiągnięciach techniki i innych aspektach działalności inżyniera i potrafi przekazać takie informacje w sposób powszechnie zrozumiały.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2024-05-04T01:09:19+02:00</dcterms:created>
  <dcterms:modified xsi:type="dcterms:W3CDTF">2024-05-04T01:09:19+02:00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