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32, w tym:
a)	wykłady - 15 godz.,
b)	ćwiczenia – 15 godz.,
c)	konsultacje – 2 godz.
2.	Praca własna studenta – 40 godzin, w tym: 
a)	 przygotowywanie się studenta do kolokwiów - 20 godz.,
b)	przygotowywanie się do ćwiczeń (realizacja zadań domowych) - 20 godz.
Razem - 72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	liczba godzin kontaktowych : 32, w tym:
a)	wykłady - 15 godz.,
b)	ćwiczenia – 15 godz.,
c)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J.Leyko: Mechanika ogólna. PWN 1978.
2. J.Leyko, J.Szmelter (red.): Zbiór zadań z mechaniki ogólnej, t I i II. PWN, Warszawa, 1983. 
3. I.W.Mieszczerski: Zbiór zadań z mechaniki. PWN, Warszawa, 1969.
4. R.Romicki: Rozwiązania zadań z mechaniki zbioru I.W.Mieszczerskiego. PWN, Warszawa, 1971. 
5. F.P. Beer, E.R. Johnston. Vector mechanics for engineers. McGraw-Hill, 1977. 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ML.NW108_W01: </w:t>
      </w:r>
    </w:p>
    <w:p>
      <w:pPr/>
      <w:r>
        <w:rPr/>
        <w:t xml:space="preserve">														Student ma podstawową wiedzę o siłach, momentach sił, parach sił. Wie, co to jest tarcie poślizgowe i toczne, geometria mas. 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Student wie, jak wykorzystać rachunek wektorowy w zagadnieniach ze statyki.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Student zna zakres stosowalności metod statyki niutonowskiej, w tym: wie czym się różnią zagadnienia statycznie wyznaczalne od statycznie niewyznaczalnych.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Student potrafi rozwiązywać proste problemy z zakresu statyki, w szczególności: umie uwalniać od więzów, redukować układy sił i momentów oraz układać równania równowagi ciał obciążonych dowolnym układem sił i momentów.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Student potrafi wykorzystać rachunek wektorowy w statyce niutonowskiej.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Student umie określić zakres stosowalności metod statyki niutonowskiej.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ML.NW108_K01: </w:t>
      </w:r>
    </w:p>
    <w:p>
      <w:pPr/>
      <w:r>
        <w:rPr/>
        <w:t xml:space="preserve">Student umie komunikować się w zakresie dotyczącym 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AiR1_K01, AiR1_K02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2025-07-09T06:12:10+02:00</dcterms:created>
  <dcterms:modified xsi:type="dcterms:W3CDTF">2025-07-09T06:12:10+02:00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