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komputerów</w:t>
      </w:r>
    </w:p>
    <w:p>
      <w:pPr>
        <w:keepNext w:val="1"/>
        <w:spacing w:after="10"/>
      </w:pPr>
      <w:r>
        <w:rPr>
          <w:b/>
          <w:bCs/>
        </w:rPr>
        <w:t xml:space="preserve">Koordynator przedmiotu: </w:t>
      </w:r>
    </w:p>
    <w:p>
      <w:pPr>
        <w:spacing w:before="20" w:after="190"/>
      </w:pPr>
      <w:r>
        <w:rPr/>
        <w:t xml:space="preserve">Dr hab. inż. Wiktor Daszczuk, Dr inż. Piotr Gawkowski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1030-IN000-ISP-XXXX</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słuchaczy z podstawami techniki cyfrowej i architektury współczesnych komputerów, zasadami działania procesorów, konstrukcją hierarchii pamięci oraz oceną ich wydajności.</w:t>
      </w:r>
    </w:p>
    <w:p>
      <w:pPr>
        <w:keepNext w:val="1"/>
        <w:spacing w:after="10"/>
      </w:pPr>
      <w:r>
        <w:rPr>
          <w:b/>
          <w:bCs/>
        </w:rPr>
        <w:t xml:space="preserve">Treści kształcenia: </w:t>
      </w:r>
    </w:p>
    <w:p>
      <w:pPr>
        <w:spacing w:before="20" w:after="190"/>
      </w:pPr>
      <w:r>
        <w:rPr/>
        <w:t xml:space="preserve">Logika binarna i kody liczbowe.
Reprezentacja danych. Liczby całkowite, zmiennopozycyjne.
Podstawy arytmetyki cyfrowej.
Przegląd architektur komputerów. Koncepcje mechanizmów systemowych i sprzętowych.
Organizacja: magistral, arbitrażu, DMA, dekodowania rozkazu i pracy sekwencera, ALU.
Układy procesorowe. Architektury CISC i RISC. Przetwarzanie SISD, SIMD, MIMD. Architektury procesorów.
Przetwarzanie potokowe. Architektura superskalarna.
Pamięć, pamięć podręczna, hierarchia pamięci. Przestrzeń IO, przerwania, komunikacja z urządzeniami zewnętrznymi.
MMU. Ochrona pamięci procesów. Wirtualizacja.
Architektury mikroprocesorowe. Przykłady.
Model pamięciowy programu, kompilacja, stos wykonania, rejestry indeksowe, sterta.
Budowa i działanie mikrojądra, stos systemowy, zmiana kontekstu, mikrojądro wieloprocesorowe.</w:t>
      </w:r>
    </w:p>
    <w:p>
      <w:pPr>
        <w:keepNext w:val="1"/>
        <w:spacing w:after="10"/>
      </w:pPr>
      <w:r>
        <w:rPr>
          <w:b/>
          <w:bCs/>
        </w:rPr>
        <w:t xml:space="preserve">Metody oceny: </w:t>
      </w:r>
    </w:p>
    <w:p>
      <w:pPr>
        <w:spacing w:before="20" w:after="190"/>
      </w:pPr>
      <w:r>
        <w:rPr/>
        <w:t xml:space="preserve">Student może otrzymać do 20 pkt za aktywność podczas ćwiczeń, 30 pkt za kolokwium w połowie semestru i 50 pkt za kolokwium końcowe. Próg zaliczenia wynosi 51 pkt, a rozkład progów kolejnych ocen to sekwencja 61, 71, 81 i 91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Stallings, Organizacja i architektura systemu komputerowego.
2. N. Nisan, S. Schocken, Elementy systemów komputerowych, WNT, 2009.
3. D. Patterson, J. Hennessy, Computer organization and design, Elsevier.
4. J. Baranowski, B. Kalinowski, Z. Nosal, Układy elektroniczne, część III, układy i systemy cyfrowe.
5. J. Biernat, Arytmetyka komputerów, Warszawa, PWN 1996.
6. G. Mazur, Architektura komputerów - preskrypt do wykładu.
7. Witold Komorowski: Instrumenta computatoria. Wybrane architektury komputerów, Wydawnictwo Helion, 2000.
8. Jerzy Mieścicki: Wstęp do Informatyki. BTC, Legionowo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w zakresie podstaw techniki cyfrowej i architektury współczesnych komputerów</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elementarną wiedzę w zakresie elektroniki i układów logicznych potrzebną do zrozumienia techniki cyfrowej i zasad funkcjonowania współczesnych komputerów</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metody, techniki i narzędzia stosowane przy rozwiązywaniu prostych zadań informatycznych z zakresu budowy systemów komputerowych</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Wykorzystuje wiedzę matematyczną do optymalizacji rozwiązań sprzętowych i programowych</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K_U01, K_U02, K_U09, K_U17, K_U24, K_U25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konieczność ciągłego śledzenia zmian w dokumentacji nowych mikroprocesorów i mikrokontrolerów oraz zmian w standardach takich jak np. USB</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Zna przykłady i rozumie przyczyny wadliwie działających systemów cyfrowych</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2026-06-21T12:24:57+02:00</dcterms:created>
  <dcterms:modified xsi:type="dcterms:W3CDTF">2026-06-21T12:24:57+02:00</dcterms:modified>
</cp:coreProperties>
</file>

<file path=docProps/custom.xml><?xml version="1.0" encoding="utf-8"?>
<Properties xmlns="http://schemas.openxmlformats.org/officeDocument/2006/custom-properties" xmlns:vt="http://schemas.openxmlformats.org/officeDocument/2006/docPropsVTypes"/>
</file>