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Malarstwo i grafika architektoniczna</w:t>
      </w:r>
    </w:p>
    <w:p>
      <w:pPr>
        <w:keepNext w:val="1"/>
        <w:spacing w:after="10"/>
      </w:pPr>
      <w:r>
        <w:rPr>
          <w:b/>
          <w:bCs/>
        </w:rPr>
        <w:t xml:space="preserve">Koordynator przedmiotu: </w:t>
      </w:r>
    </w:p>
    <w:p>
      <w:pPr>
        <w:spacing w:before="20" w:after="190"/>
      </w:pPr>
      <w:r>
        <w:rPr/>
        <w:t xml:space="preserve">dr hab. inż. arch. Mirosław Orzechowski prof.uczelni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J-03KW-Rs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sem. 1 i 2 z rysunku oraz praktyka rysunkowa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umiejętności spostrzegania ze szczególnym naciskiem na kolor. Praktyczne zapoznanie się z terminami: kolor, barwa, nasycenie temperatury barw, kontrast.</w:t>
      </w:r>
    </w:p>
    <w:p>
      <w:pPr>
        <w:keepNext w:val="1"/>
        <w:spacing w:after="10"/>
      </w:pPr>
      <w:r>
        <w:rPr>
          <w:b/>
          <w:bCs/>
        </w:rPr>
        <w:t xml:space="preserve">Treści kształcenia: </w:t>
      </w:r>
    </w:p>
    <w:p>
      <w:pPr>
        <w:spacing w:before="20" w:after="190"/>
      </w:pPr>
      <w:r>
        <w:rPr/>
        <w:t xml:space="preserve">Treść kształcenia stanowią dwa bloki malarskie podzielone na część projektową, w której studenci wykonują barwne propozycje zależne od kontekstu badanego otoczenia oraz część opartą na obserwacji, analizie oraz wykonaniu prac na podstawie konkretnych kompozycji.</w:t>
      </w:r>
    </w:p>
    <w:p>
      <w:pPr>
        <w:keepNext w:val="1"/>
        <w:spacing w:after="10"/>
      </w:pPr>
      <w:r>
        <w:rPr>
          <w:b/>
          <w:bCs/>
        </w:rPr>
        <w:t xml:space="preserve">Metody oceny: </w:t>
      </w:r>
    </w:p>
    <w:p>
      <w:pPr>
        <w:spacing w:before="20" w:after="190"/>
      </w:pPr>
      <w:r>
        <w:rPr/>
        <w:t xml:space="preserve">Ocena postępu pracy podczas trwania ćwiczeń i ocena końcowego opracowania tematu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Baudelaire C., O kolorze, Salon 1846.
Stoichita V., Krótka historia cienia, Kraków 2001.
Wasyl Kandyński, „O duchowości w sztuce”, Łódź 1996
Kazimierz Malewicz, „Świat bezprzedmiotowy”, Gdańsk 2006
Literatura uzupełniająca:
W. Cahn, „Arcydzieła”, Warszawa 1988
M. Govan, C. Kim, „James Turrell”, Los Angeles 2013
M. Rostworowski, „Wędrowny sztukmistrz”, Warszawa 1990
J. Werner, „Podstawy technologii malarstwa i grafiki”, Warszawa-Kraków 1985
J. Thompson, „How to read a modern painting”, London 2011
Tilman Osterwold, „Pop Art”, Koln 1999
A.Wojciechowski, „Z dziejów malarstwa pejzażowego. Od renesansu do początków XX wieku”, Warszawa 1965 początków XX wieku”, Warszawa 1965 
Strzemiński W., Teoria widzenia, Kraków 1969.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2026-06-12T20:57:43+02:00</dcterms:created>
  <dcterms:modified xsi:type="dcterms:W3CDTF">2026-06-12T20:57:43+02:00</dcterms:modified>
</cp:coreProperties>
</file>

<file path=docProps/custom.xml><?xml version="1.0" encoding="utf-8"?>
<Properties xmlns="http://schemas.openxmlformats.org/officeDocument/2006/custom-properties" xmlns:vt="http://schemas.openxmlformats.org/officeDocument/2006/docPropsVTypes"/>
</file>