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PKAI_2st_W01: </w:t>
      </w:r>
    </w:p>
    <w:p>
      <w:pPr/>
      <w:r>
        <w:rPr/>
        <w:t xml:space="preserve">Zna budowę, fizjologię i patologię  układu bodźcotwórczo - przewodzącego serca, parametry sygnałów elektrokardiograficznych, zasady konstrukcji systemów elektrokardiograficznych, metody oceny medycznych metod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PKAI_2st_U01: </w:t>
      </w:r>
    </w:p>
    <w:p>
      <w:pPr/>
      <w:r>
        <w:rPr/>
        <w:t xml:space="preserve">Potrafi opracować założenia techniczne systemu do rejestracji sygnału elektrokardiograficznego z uwzględnieniem specyfiki sygnału i potrzeb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PKAI_2st_K01: </w:t>
      </w:r>
    </w:p>
    <w:p>
      <w:pPr/>
      <w:r>
        <w:rPr/>
        <w:t xml:space="preserve">Ma świadomość interdyscyplinarności inżynierii biomedycznej i ekonomicznych uwarunkowań   finansowania systemu opieki zdrowotnej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2026-05-28T22:30:45+02:00</dcterms:created>
  <dcterms:modified xsi:type="dcterms:W3CDTF">2026-05-28T22:30:45+02:00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