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 -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32h., w tym:
a) wykład - 15h;
b) laboratorium - 15h;
c) konsultacje  - 2h;
2) Praca własna studenta 30, w tym:
a) przygotowanie do kolokwiów zaliczeniowych- 8h;
b) przygotowanie do laboratorium . - 5h;
c) opracowanie sprawozdań - 12h;
d) studia literaturowe - 5h;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liczba godzin bezpośrednich: 32 w tym: 
a) wykład - 15h;
b) laboratorium - 15h;
c)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32h., w tym:
a) wykład - 15h;
b) laboratorium - 15h;
c) konsultacje  - 2h;
2) Praca własna studenta 30, w tym:
a) przygotowanie do kolokwiów zaliczeniowych- 8h;
b) przygotowanie do laboratorium . - 5h;
c) opracowanie sprawozdań - 12h;
d) studia literaturowe - 5h;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Aspekty praktyczne cyfrowego przetwarzania sygnału pomiarowego sensorów mechatronicznych, Sensory magnetyczne, Sensory magnetomechaniczne, Mikrosensory piezoelektryczne i piezoelektryczne elementy wykonawcze, Mikrosensory z falą powierzchniową SAW Sensory chemiczne, Mikrosensory spektroetryczne, Sensory tomograficzne, Mikrosensory MEMS / MOEMS, Sensoryka i mikrosensoryka w systemach bezpieczeństwa, Organizacja sieci pomiarowych i integracja mikrosensorów mechatronicznych, Technologia wytwarzania sensorów.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Tumański: „Technika Pomiarowa”, WNT, Warszawa, 2016.
2.	S. Tumański: „Cienkowarstwowe czujniki magnetorezystancyjne”, Oficyna Wydawnicza Politechniki Warszawskiej, Warszawa, 1997. 
3.	M. Nałęcz, J. Jaworski: „Miernictwo magnetyczne”, WNT, Warszawa 1968. 
4.	J. G. Webster: “The Measurement, Instrumentation and Sensors Handbook”, CRC, 1998. 
5.     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TSWM1_2st_W01: </w:t>
      </w:r>
    </w:p>
    <w:p>
      <w:pPr/>
      <w:r>
        <w:rPr/>
        <w:t xml:space="preserve">Posiada uporządkowaną wiedzę w zakresie pomiarowych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TSWM1_2st_U01: </w:t>
      </w:r>
    </w:p>
    <w:p>
      <w:pPr/>
      <w:r>
        <w:rPr/>
        <w:t xml:space="preserve">Potrafi zaplanować i przeprowadzić badania doświadczalne z użyciem rónych typów sensorów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TSWM1_2st_K01: </w:t>
      </w:r>
    </w:p>
    <w:p>
      <w:pPr/>
      <w:r>
        <w:rPr/>
        <w:t xml:space="preserve">Potrafi przyjąć odpowiedzialności za pracę własną i zespołu, którego jest członkiem poztępuje zgodnie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2026-03-20T22:06:25+01:00</dcterms:created>
  <dcterms:modified xsi:type="dcterms:W3CDTF">2026-03-20T22:06:25+01:00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