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rzeczywistości wirtualnej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(32h):
a) Wykład: 15h
b) Projekt:15h
b) Konsultacje: 2h
2) Liczba godzin pracy własnej studenta (20h): 
a) Przygotowanie na zajęcia: 2h
b) Praca nad projektem w domu 15h
c) Przygotowanie do kolokwiów 3h
Razem: 52h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(32h):
a) Wykład: 15h
b) Projekt:15h
c) Konsultacje: 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Projekt:15h
b) Praca nad projektem w domu 15h
Razem: 30h (1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podstawowa znajomość zagadnień grafiki komputerowej oraz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systemów VR oraz ich głównych komponentów: urządzeń wejściowych, wyjściowych i silnika. Poznanie nowoczesnych interfejsów człowiek-komputer. Zdobycie podstawowej umiejętności programowania logiki interaktywnych scen trójwymiarowych w komercyjnym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Krótka historia rzeczywistości wirtualnej (VR – virtual reality). Omówienie budowy systemów VR oraz głównych komponentów składowych: urządzenia wejściowe (interfejs haptyczny, rozpoznawanie twarzy, rozpoznawanie gestów, sterowanie głosowe, śledzenie wzroku), urządzenia wyjściowe (wyświetlacze stereoskopowe osobiste i wieloosobowe, sprzężenie zwrotne siłowe, stymulacja zmysłu dotyku, symulacja ruchu całego ciała), silnik wizualizacyjny. Opis zagadnień związanych z urządzeniami haptycznymi. Proces budowy światów VR. Treści wykładowe mogą być dostosowane do zainteresowań studentów.
Projekt:
W części praktycznej studenci wykonują indywidualne projekty. W ramach projektu należy stworzyć w środowisku programistycznym (do wyboru studenta) scenę interaktywną realizującą funkcjonalność wybraną przez studenta i zaakceptowaną przez prowadzącego. Przykładowymi tematami mogą być: opracowanie interaktywnej kompozycji wyjaśniającej przedmiot pracy inżynierskiej/magisterskiej, gra komputerowa 3D, prezentacja obiektu związanego z hobby studenta…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dwa testy sprawdzające (2 x 5,0 pkt.)
Projekt - zaliczenie na podstawie wyników realizacji projektu indywidualnego (10,0 pkt.)
Ocena końcowa z przedmiotu wynika z liczby punktów uzyskanych łącznie z wykładu oraz projektu:
•	ponad 50 % do 60 %  - ocena 3,0 
•	ponad 60 % do 70 %  - ocena 3,5 
•	ponad 70 % do 80 %  - ocena 4,0 
•	ponad 80 % do 90 %  - ocena 4,5 
•	ponad 90 %                 - ocena 5,0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Warwick, K., Gray, J. and Roberts, D. eds. (1993). Virtual Reality in Engineering, Peter Peregrinus. London.
Stanney, K. M. ed. (2002). Handbook of Virtual Environments: Design, Implementation, and Applications. Lawrence Erlbaum Associates, Inc., Mahwah, New Jersey
Rheingold, H. (1992). Virtual Reality, Simon &amp; Schuster, New York, N.Y.
Burdea, G. and P. Coffet (2003). Virtual Reality Technology, Second Edition. Wiley-IEEE Press. N.Y.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TRW_2st_W01: </w:t>
      </w:r>
    </w:p>
    <w:p>
      <w:pPr/>
      <w:r>
        <w:rPr/>
        <w:t xml:space="preserve">Znajomość budowy systemów VR oraz ich elementów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treści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TRW_2st_W02: </w:t>
      </w:r>
    </w:p>
    <w:p>
      <w:pPr/>
      <w:r>
        <w:rPr/>
        <w:t xml:space="preserve">Wiedza o metodach tworzenia interaktywnych trójwymiarowych scen wirtualnych VR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treści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TRW_2st_U01: </w:t>
      </w:r>
    </w:p>
    <w:p>
      <w:pPr/>
      <w:r>
        <w:rPr/>
        <w:t xml:space="preserve">Umie wykonać interaktywną trójwymiarową scenę wirtualną VR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TRW_2st_U02: </w:t>
      </w:r>
    </w:p>
    <w:p>
      <w:pPr/>
      <w:r>
        <w:rPr/>
        <w:t xml:space="preserve">Umie zoptymalizować interaktywną trójwymiarową scenę wirtualną VR pod kątem szybkości wykonywania kodu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ćwiczeń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TRW_2st_K01: </w:t>
      </w:r>
    </w:p>
    <w:p>
      <w:pPr/>
      <w:r>
        <w:rPr/>
        <w:t xml:space="preserve">Ma świadomość pozyskanej wiedzy i umiejętności oraz konieczność stałego ich poszerzania.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treści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2025-05-03T18:24:11+02:00</dcterms:created>
  <dcterms:modified xsi:type="dcterms:W3CDTF">2025-05-03T18:24:11+02:00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