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Laboratorium technologii organicznej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Łukasz Gościniak, dr inż. Sabina Wilkanowicz, mgr inż. Przemysław Jarosiński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CS1A_25L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Laboratoria: liczba godzin według planu studiów - 60, przygotowanie do zajęć - 20, opracowanie sprawozdania - 20, przygotowanie do kolokwium - 25; Razem - 125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Laboratoria - 60 h; Razem - 60 h = 2,4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Laboratoria: liczba godzin według planu studiów - 60, przygotowanie do zajęć - 20, opracowanie sprawozdania - 20, przygotowanie do kolokwium - 25; Razem - 125 = 5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8 - 12.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wiedzy, umiejętności i kompetencji społecznych w zakresie wybranych procesów przemysłowej syntezy organicznej.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L1 - Otrzymywanie alkoholu izopropylowego przez uwodnienie propylenu; L2 - Otrzymywanie izopropylotoluenu przez alkilowanie toluenu propylenem; L3 - Synteza octanu etylu na drodze estryfikacji bezpośredniej; L4 - Otrzymywanie chloronitrobenzenu przez nitrowanie chlorobenzenu.  L5 - Otrzymywanie α-metylostyrenu przez odwodornienie izopropylobenzenu; L6 - Utlenianie węglowodorów n-parafinowych do kwasów tłuszczowych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Uzyskanie zaliczenia z przedmiotu odbywa się na podstawie średniej arytmetycznej z sześciu pozytywnie ocenionych ćwiczeń. Oceniana jest wiedza teoretyczna - na podstawie kolokwiów oraz wykonanie ćwiczenia - na podstawie sprawozdania z ćwiczenia.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Grzywa E., Molenda S., Technologia podstawowych syntez chemicznych, WNT, Warszawa 2009;  
2. Bogoczek R., Kociołek-Balawejder E., Technologia chemiczna organiczna, Wydawnictwo Akademii Ekonomicznej we Wrocławiu, Wrocław 1992; 
3. Taniewski M., Przemysłowa synteza organiczna, Wydawnictwa Politechniki Śląskiej, Gliwice 1999;
4. Kociołek - Balawejder E., Technologia chemiczna organiczna - wybrane zagadnienia, UE, Wrocław 2013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portaliusz.pw.plock.pl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Zajęcia będą przeprowadzone z wykorzystaniem platformy e-learningowej Moodle.
Program studiów opracowany na podstawie programu nauczania zmodyfikowanego w ramach Zadania 8 Programu NERW.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W11: </w:t>
      </w:r>
    </w:p>
    <w:p>
      <w:pPr/>
      <w:r>
        <w:rPr/>
        <w:t xml:space="preserve">Potrafi wskazać alternatywne metody oczyszczania i przygotowania surowców oraz oczyszczania i  rozdzielania produktów wybranych syntez organicznych. Ma wiedzę na temat wybranych procesów w technologii chemicznej organicznej, metod ich prowadzenia oraz wykorzystania ich produktów.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W15: </w:t>
      </w:r>
    </w:p>
    <w:p>
      <w:pPr/>
      <w:r>
        <w:rPr/>
        <w:t xml:space="preserve">Zna metody analizy chemicznych i fizycznych właściwości wybranych produktów organicznych.  Potrafi zaproponować metody analizy chemicznych i fizycznych właściwości wybranych produktów organicznych w celu oceny ich jakości.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pozyskiwać informacje z literatury, baz danych oraz innych źródeł w zakresie: badania chemicznych i fizycznych właściwości produktów syntezy organicznej określania zależności pomiędzy procesami produkcji a właściwościami chemicznymi i fizycznymi, konsekwencji stosowania produktów organicznych dla środowiska naturalnego oraz integrować te dane, dokonywać ich interpretacji, a także wyciągać wnioski i formułować opinie.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p>
      <w:pPr>
        <w:keepNext w:val="1"/>
        <w:spacing w:after="10"/>
      </w:pPr>
      <w:r>
        <w:rPr>
          <w:b/>
          <w:bCs/>
        </w:rPr>
        <w:t xml:space="preserve">Charakterystyka U09: </w:t>
      </w:r>
    </w:p>
    <w:p>
      <w:pPr/>
      <w:r>
        <w:rPr/>
        <w:t xml:space="preserve">Potrafi przedstawiać otrzymane wyniki analizy właściwości chemicznych i fizycznych produktów naftowych w formie liczbowej i graficznej, dokonywać ich interpretacji i wyciągać wnioski.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U14: </w:t>
      </w:r>
    </w:p>
    <w:p>
      <w:pPr/>
      <w:r>
        <w:rPr/>
        <w:t xml:space="preserve">Potrafi oceniać wpływ jakości surowców na przebieg i jakość produktów procesu technologicznego.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K04: </w:t>
      </w:r>
    </w:p>
    <w:p>
      <w:pPr/>
      <w:r>
        <w:rPr/>
        <w:t xml:space="preserve">Potrafi współdziałać i pracować w grupie, przyjmując w niej różne role.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</w:t>
      </w:r>
    </w:p>
    <w:p>
      <w:pPr>
        <w:keepNext w:val="1"/>
        <w:spacing w:after="10"/>
      </w:pPr>
      <w:r>
        <w:rPr>
          <w:b/>
          <w:bCs/>
        </w:rPr>
        <w:t xml:space="preserve">Charakterystyka K05: </w:t>
      </w:r>
    </w:p>
    <w:p>
      <w:pPr/>
      <w:r>
        <w:rPr/>
        <w:t xml:space="preserve">Ma świadomość odpowiedzialności za pracę własną oraz gotowość podporządkowania się zasadom pracy w zespole i ponoszenia odpowiedzialności za wspólnie realizowane zadania.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2026-10-03T13:26:06+02:00</dcterms:created>
  <dcterms:modified xsi:type="dcterms:W3CDTF">2026-10-03T13:26:06+02:00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