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informacyjna w technologii chemicznej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Małgorzata Petzel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CS1A_03_02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przygotowanie do kolokwium - 10, razem - 25.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 0,6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w zakresie technologii informacyjnej. Celem części teoretycznej jest zapoznanie studentów z informacjami stanowiącymi podzbiór informacji zawartych w modułach wymaganych do uzyskania Europejskiego Certyfikatu Umiejętności Komputerowych. Celem części praktycznej jest zapoznanie studentów z programami komputerowymi potrzebnymi w pracy inżyniera technologa takimi jak MS Visio, CAChE (computer aids in chemical engineering – wspomaganie komputerowe w inżynierii chemicznej), graficzne środowisko programistyczne stosowane w automatyce przemysłowej i metrologii.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– Digitalizacja pojęcia wstępne. Digitalizacja grafiki. Grafika komputerowa. Zastosowanie grafiki komputerowej. W2 – Raster. Rastryzacja. Zapis grafiki rastrowej - rozdzielczość obrazu. Rozdzielczość urządzeń wejścia-wyjścia. W3 – Zapis grafiki rastrowej - modele barw. Głębia bitowa. Rozmiar pliku obrazów rastrowych. Jednoznaczność definicji barwy. Kalibracja urządzeń wejścia-wyjścia. W4 – Grafika rastrowa – wady, zalety, format plików, zastosowanie. W5 – Grafika wektorowa – wady, zalety, format plików, zastosowanie. W6 – Grafika wektorowa i rastrowa porównanie. Grafika internetowa porady. Konwersja wektor- raster i raster- wektor. OCR. W7 – Kodowanie, szyfrowanie, kompresja. Programy do kompresji. Formaty archiwów. Szyfrowanie.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następuje na postawie kolokwium zaliczeniowego. Do zaliczenia kolokwium wymagane jest uzyskanie co najmniej 51% punktów.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Powers S., Grafika w Internecie, Helion, Gliwice, 2006. 2. Sikorski W., Wykłady z podstaw informatyki, Salma Press, Warszawa 2009.3. Glitschka V., Grafika wektorowa. Szkolenie podstawowe, Helion, Gliwice 2016. 4. Kwaśny A., Od skanera do drukarki, Helion, Gliwice 2011.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
Zajęcia z przedmiotu będą realizowane przy użyciu nowych technik multimedialnych, takich jak platforma Moodle.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W15: </w:t>
      </w:r>
    </w:p>
    <w:p>
      <w:pPr/>
      <w:r>
        <w:rPr/>
        <w:t xml:space="preserve">Ma podstawową wiedzę dotyczącą grafiki komputerowej, programów do obróbki grafiki komputerowej, wspomagania komputerowego w obszarach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2026-10-01T22:51:01+02:00</dcterms:created>
  <dcterms:modified xsi:type="dcterms:W3CDTF">2026-10-01T22:51:01+02:00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