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- 15 godz. 
b) projekt - 30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aparaturze diagnostycznej wykorzystującej promieniowanie jonizujące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Zasady ochrony radiologicznej.
Zakres zajęć projektowych obejmuje: 
Praktyczne obliczanie osłon przed promieniowaniem jonizującym. Opracowanie dokumentacji projektowej pracowni rentgenowskiej i izotopowej.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29 listopada 2000 r. Prawo atomowe. 
Dz.U. 2001 nr 3 poz. 18 wraz z aktualnymi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PPRI_2st_W01: </w:t>
      </w:r>
    </w:p>
    <w:p>
      <w:pPr/>
      <w:r>
        <w:rPr/>
        <w:t xml:space="preserve">Zna cele i podstawowe zasady: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W_05, 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PPRI_2st_U01: </w:t>
      </w:r>
    </w:p>
    <w:p>
      <w:pPr/>
      <w:r>
        <w:rPr/>
        <w:t xml:space="preserve">Potrafi: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PPRI_2st_K01: </w:t>
      </w:r>
    </w:p>
    <w:p>
      <w:pPr/>
      <w:r>
        <w:rPr/>
        <w:t xml:space="preserve">Ma świadomość: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2026-06-18T17:25:19+02:00</dcterms:created>
  <dcterms:modified xsi:type="dcterms:W3CDTF">2026-06-18T17:25:19+02:00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