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poza planem studiów: 93h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wykłady i ćwiczenia
0,8 egzaminy i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 1. Umiejętność grupowania składników majątkowych i źródeł ich finansowania w bilansie przedsiębiorstwa. 2. Znajomość podstawowych metod wyceny składników majątku. 3. Umiejętność ewidencji operacji gospodarczych na kontach księgowych. 4. Umiejętność ustalenia wyniku finansowego i sporządzenia rachunku zysków i strat.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Wprowadzenie do rachunkowości. Przedmiot, zadania, funkcje i podstawy prawne rachunkowości. (1) 2. Charakterystyka majątku i źródeł jego finansowania.  Bilans i zasady jego sporządzania: (2) 3. Typy operacji gospodarczych i zasady ich ewidencji na kontach księgowych .(1)  4. Konta analityczne i syntetyczne. Zestawienie obrotów i sald. Poprawianie błędów księgowych. (1) 5. Ewidencja aktywów trwałych.  Metody liczenia amortyzacji. (2)  6. Ewidencja środków pieniężnych oraz długo- i  krótkoterminowych aktywów finansowych. (2) 7. Klasyfikacja i ewidencja rozrachunków. Sporządzanie listy płac pracowników (2) 8. Metody wyceny materiałów i towarów. Ewidencja materiałów i towarów. (2) 9. Zasady ewidencji kosztów podstawowej działalności operacyjnej (produkcyjnej); klasyfikacja kosztów, warianty ewidencji i rozliczania kosztów.. Zasady wyceny i ewidencji wyrobów gotowych (2) 10.  Warianty ustalania wyniku finansowego i sporządzania rachunku zysków i strat  (1) 
Ćwiczenia (tematy)
1.  Ujęcie bilansowe majątku przedsiębiorstwa. Bilans i zasady jego sporządzania (2) 2. Typy operacji gospodarczych i zasady ich ewidencji na kontach księgowych (2) 3. Konta analityczne i syntetyczne. Zestawienie obrotów i sald. Poprawianie błędów księgowych. (1)  4. Ewidencja aktywów trwałych. Metody liczenia amortyzacji. (2) 5 Kolokwium (1)  6. Ewidencja środków pieniężnych oraz długo- i  krótkoterminowych aktywów finansowych (2) 7. Klasyfikacja i ewidencja rozrachunków.  Sporządzanie listy płac pracowników (2) 8. Metody wyceny materiałów i towarów. Ewidencja materiałów i towarów. (2)  9. Zasady ewidencji kosztów  działalności operacyjnej (produkcyjnej); klasyfikacja kosztów, warianty ewidencji i rozliczania kosztów. Ustalanie wyniku finansowego i sporządzanie rachunku zysków i strat (1) 10. Kolokwium (1)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zostanie przeprowadzone jedno kolokwium w formie pisemnej (zadania). Poza tym studenci będą musieli rozliczyć się z zadań przekazanych do samodzielnego rozwiązania w domu.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(0,4), ćwiczeń (0,4) i pracy własnej na platformie E-KNEIS (0,2). 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I. Olchowicz, Podstawy rachunkowości.  Tom I, Difin, Warszawa, 2016r.;  I. Olchowicz, Podstawy rachunkowości. Zadania i rozwiązania. Tom II, Difin, Warszawa, 2016r  Ustawa o rachunkowości z 29. 09. 1994r. (znowelizowana); Literatura uzupełniająca: J. Matuszewicz, P. Matuszewicz, Rachunkowość od podstaw, FINANS-SERVIS, Warszawa, 2014r.; J. Matuszewicz, P. Matuszewicz, Zbiór zadań do podręcznika Rachunkowość od podstaw, FINANS-SERVIS, Warszawa, 2012r; . K. Winiarska (red.) Podstawy rachunkowości, Podręcznik, Wolters Kluwer,  2012; 1. Podstawy rachunkowości, praca zbiorowa pod  red. K. Sawickiego, PWE, Warszawa, 2013r.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K_W14: </w:t>
      </w:r>
    </w:p>
    <w:p>
      <w:pPr/>
      <w:r>
        <w:rPr/>
        <w:t xml:space="preserve">Zna metody wyceny poszczególnych składników majątku i zasady ich ewidencji na kontach księgowych.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K_W15: </w:t>
      </w:r>
    </w:p>
    <w:p>
      <w:pPr/>
      <w:r>
        <w:rPr/>
        <w:t xml:space="preserve">Ma podstawową wiedzę o środkach gospodarczych, źródłach ich finansowania i operacjach kształtujących wynik finansowy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dotyczącą przepisów ustawy o rachunkowości, w szczególności w zakresie wyceny poszczególnych składników majątku i sporządzania sprawozdań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prawidłowo interpretować przepisy ustawy o rachunkowości w celu dokonania rzetelnej i wiarygodnej wyceny składników majątku i źródeł ich finansowania oraz ustalenia wyniku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Posiada umiejętność ewidencjonowania operacji gospodarczych na kontach księgowych, zarówno syntetycznych, jak i analitycznych, bilansowych i wynikowych.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K_U14: </w:t>
      </w:r>
    </w:p>
    <w:p>
      <w:pPr/>
      <w:r>
        <w:rPr/>
        <w:t xml:space="preserve">Potrafi klasyfikować składniki majątkowe i źródła ich finansowania w bilansie przedsiębiorstwa. Potrafi sporządzić bilans, ustalić wynik finansowy i sporządzić rachunek zysków i strat w wariancie porównawczym i kalkulacyjnym.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Ma świadomość ciągłego uzupełniania wiedzy z powodu zmian  przepisów prawnych (ustawa o rachunkowości). Potrafi określić, czy jego zainteresowania i cechy osobiste pretendują go do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2024-04-19T12:03:02+02:00</dcterms:created>
  <dcterms:modified xsi:type="dcterms:W3CDTF">2024-04-19T12:03:02+02:00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