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upoważnieni przez Radę Kolegium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EMPS9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ćwiczeniach 30h
Praca własna: 	20h
Sumaryczne obciążenie pracą studenta 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Wykaz przedmiotów wynika z tematu pracy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studenta do
napisania i obrony pracy licencjackiej.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Sprawdzenie postępu prac i omawianie z każdym dyplomantem stanu realizacji pracy dyplomowej.
Prezentacje wybranych zagadnień zrealizowanej pracy dyplomowej, które wymagają
przedyskutowania z promotorem i pozostałymi seminarzystami. 
Sprawdzenie finalnej wersji pracy.
Omówienie obrony pracy i zasad egzaminu licencjackiego.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postępów w pisaniu pracy licencjackiej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Dobór literatury wynika z tematu pracy  licencjackiej
Literatura uzupełniająca:
Dobór literatury wynika z tematu pracy  licencjackiej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K_W06: </w:t>
      </w:r>
    </w:p>
    <w:p>
      <w:pPr/>
      <w:r>
        <w:rPr/>
        <w:t xml:space="preserve">Ma wiedzę wymaganą przy wyborze właściwych
metod i technik badawczych niezbędnych do
prowadzenia samodzielnej pracy badawczej.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S1P_W06, S1P_W07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K_U02: </w:t>
      </w:r>
    </w:p>
    <w:p>
      <w:pPr/>
      <w:r>
        <w:rPr/>
        <w:t xml:space="preserve">Potrafi prowadzić studia literaturowe
wykorzystując polską i obcojęzyczną literaturę przedmiotu oraz inne materiały źródłowe (akty normatywne, regulacje środowiskowe, dane
statystyczne GUS, NBP, MF, KNF, materiały wewnętrzne badanych podmiotów gospodarczych i in.) w celu przygotowania pracy
licencjackiej.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S1P_U02, S1P_U08</w:t>
      </w:r>
    </w:p>
    <w:p>
      <w:pPr>
        <w:keepNext w:val="1"/>
        <w:spacing w:after="10"/>
      </w:pPr>
      <w:r>
        <w:rPr>
          <w:b/>
          <w:bCs/>
        </w:rPr>
        <w:t xml:space="preserve">Efekt K_U07: </w:t>
      </w:r>
    </w:p>
    <w:p>
      <w:pPr/>
      <w:r>
        <w:rPr/>
        <w:t xml:space="preserve">Potrafi sformułować cel prowadzonych badań, hipotezy i metody badawcze, zebrać materiały
empiryczne, przedstawić je w formie
umożliwiającej dokonanie analizy przy użyciu wybranych technik badawczych, sformułować
logiczne wnioski uzasadniające przyjęte hipotezy
badawcze.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S1P_U03, S1P_U07</w:t>
      </w:r>
    </w:p>
    <w:p>
      <w:pPr>
        <w:keepNext w:val="1"/>
        <w:spacing w:after="10"/>
      </w:pPr>
      <w:r>
        <w:rPr>
          <w:b/>
          <w:bCs/>
        </w:rPr>
        <w:t xml:space="preserve">Efekt K_U09: </w:t>
      </w:r>
    </w:p>
    <w:p>
      <w:pPr/>
      <w:r>
        <w:rPr/>
        <w:t xml:space="preserve">Potrafi redagować dokumenty tekstowe z zachowaniem narzuconych wymogów formalnych, poprawnych pod względem stylistycznym, językowym, logicznie łączących rozważania o charakterze teoretycznym, metodologicznym i analiz empirycznych.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S1P_U09</w:t>
      </w:r>
    </w:p>
    <w:p>
      <w:pPr>
        <w:keepNext w:val="1"/>
        <w:spacing w:after="10"/>
      </w:pPr>
      <w:r>
        <w:rPr>
          <w:b/>
          <w:bCs/>
        </w:rPr>
        <w:t xml:space="preserve">Efekt K_U11: </w:t>
      </w:r>
    </w:p>
    <w:p>
      <w:pPr/>
      <w:r>
        <w:rPr/>
        <w:t xml:space="preserve">Potrafi przedstawić dorobek literatury związanej z tematem pracy dyplomowej. Posiada umiejętność wypowiadania się i prezentowania
wybranych zagadnień ekonomicznych.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S1P_U11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K_K03: </w:t>
      </w:r>
    </w:p>
    <w:p>
      <w:pPr/>
      <w:r>
        <w:rPr/>
        <w:t xml:space="preserve">Postępuje zgodnie z wymogami stawianymi pracy dyplomowej, przestrzegając praw autorskich i zasad etyki.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S1P_K02, S1P_K03, S1P_K07</w:t>
      </w:r>
    </w:p>
    <w:p>
      <w:pPr>
        <w:keepNext w:val="1"/>
        <w:spacing w:after="10"/>
      </w:pPr>
      <w:r>
        <w:rPr>
          <w:b/>
          <w:bCs/>
        </w:rPr>
        <w:t xml:space="preserve">Efekt K_K01: </w:t>
      </w:r>
    </w:p>
    <w:p>
      <w:pPr/>
      <w:r>
        <w:rPr/>
        <w:t xml:space="preserve">Jest otwarty na stosowanie nowatorskich metod badawczych, zdolny do poszukiwania
alternatywnych dróg rozwiązań postawionych zadań. Ma świadomość zalet i ograniczeń metod badawczych wykorzystywanych w badaniach
społecznych. Potrafi ocenić wyniki wkładu własnej pracy w relacji do istniejącego w danym obszarze stanu badań.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konsultacje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2026-05-06T20:55:20+02:00</dcterms:created>
  <dcterms:modified xsi:type="dcterms:W3CDTF">2026-05-06T20:55:20+02:00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