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Liczba godzin poza planem studiów	20h
Sumaryczne obciążenie pracą studenta	50h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
Inne formy kontaktu bezpośredniego ( egzaminy, konsultacje oraz zaliczenia i egzaminy w dodatkowych terminach)	0,68
Łącznie	1,88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 ogólny przedmiotu: Przekazanie podstawowych wiadomości o zasadach rachunkowości, polityce rachunkowości i  sprawozdawczości finansowej.  Zapoznanie studentów ze szczególnymi przypadkami wyceny składników majątku i źródeł ich finansowania oraz  ewidencji złożonych operacji gospodarczych.   Cele dydaktyczne przedmiotu: 1. Umiejętność  identyfikacji, wyceny i ewidencji leasingu,  instrumentów  finansowych, umów długoterminowych, rezerw i rozliczeń międzyokresowych, kapitałów. 2  Umiejętność sporządzania rachunku przepływów pieniężnych., zestawienia zmian  w kapitale własnym i skonsolidowanych sprawozdań finansowych.</w:t>
      </w:r>
    </w:p>
    <w:p>
      <w:pPr>
        <w:keepNext w:val="1"/>
        <w:spacing w:after="10"/>
      </w:pPr>
      <w:r>
        <w:rPr>
          <w:b/>
          <w:bCs/>
        </w:rPr>
        <w:t xml:space="preserve">Treści kształcenia: </w:t>
      </w:r>
    </w:p>
    <w:p>
      <w:pPr>
        <w:spacing w:before="20" w:after="190"/>
      </w:pPr>
      <w:r>
        <w:rPr/>
        <w:t xml:space="preserve">Wykłady (tematy)
1.Plan kont - ewidencja syntetyczna i analityczna 2. Metoda bilansowa - rachunek majątku i kapitału 3. Klasyfikacja aktywów i pasywów - metody wyceny 4. Operacje ekwiwalentne i wynikowe 5. Rachunek kosztów - wariant porównawczy i kalkulacyjny 6. Kalkulacja wyniku finansowego - ujęcie bilansowe i podatkowe 7. Kalkulacja kosztu wytworzenia produktu gorowego oraz produkcji w toku 8.Krąg kosztów, zmiana stanu produktów, RMK 9. Sprawozdawczośc finansowa przedsiębiorstwa
Ćwiczenia (tematy)
1.Plan kont - ewidencja syntetyczna i analityczna 2. Metoda bilansowa - rachunek majątku i kapitału 3. Klasyfikacja aktywów i pasywów - metody wyceny 4. Operacje ekwiwalentne i wynikowe 5. Rachunek kosztów - wariant porównawczy i kalkulacyjny 6. Kalkulacja wyniku finansowego - ujęcie bilansowe i podatkowe 7. Kalkulacja kosztu wytworzenia produktu gorowego oraz produkcji w toku 8.Krąg kosztów, zmiana stanu produktów, RMK 9. Sprawozdawczość finansowa przedsiębiorstwa
</w:t>
      </w:r>
    </w:p>
    <w:p>
      <w:pPr>
        <w:keepNext w:val="1"/>
        <w:spacing w:after="10"/>
      </w:pPr>
      <w:r>
        <w:rPr>
          <w:b/>
          <w:bCs/>
        </w:rPr>
        <w:t xml:space="preserve">Metody oceny: </w:t>
      </w:r>
    </w:p>
    <w:p>
      <w:pPr>
        <w:spacing w:before="20" w:after="190"/>
      </w:pPr>
      <w:r>
        <w:rPr/>
        <w:t xml:space="preserve">Warunkiem przystąpienia do egzaminu końcowego jest uzyskanie zaliczenia ćwiczeń. W semestrze w celu sprawdzenia efektów kształcenia w zakresie umiejętności  zostanie przeprowadzone jedno kolokwium w formie pisemnej (zadania). Na punktację końcową z ćwiczeń wpływają także punkty zdobyte na zajęciach komputerowych realizowanych z użyciem programu Symfonia (moduł Finanse Księgowość).  Obecność na ćwiczeniach jest obowiązkowa. Egzamin sprawdzający efekty kształcenia w zakresie wiedzy zostanie przeprowadzony w formie pisemnej w czasie sesji egzaminacyjnej (test, zadanie). Warunkiem zdania egzaminu jest uzyskanie minimum 50% punktów. Na ocenę końcową z przedmiotu w 50% składa się ocena z ćwiczeń i w 50%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Katarzyna Bareja, Teresa Boroch, Marta Gawart, Magdalena Giedroyć, Katarzyna Klimczak, Edyta Łazarowicz, Katarzyna Zasiewska,  Zaawansowana rachunkowość finansowa, Oficyna Wydawnicza SGH, Warszawa 2012r. J. Godlewska (red.) Rachunkowość finansowa dla zaawansowanych, Stowarzyszenie Księgowych w Polsce, Warszawa 2011r. K. Winiarska (red.)  Zaawansowana rachunkowość finansowa. Przykłady, zadania, testy, C.H. Beck, Warszawa 2012r.
Literatura uzupełniająca:
W. Gabrusewicz, Z. Kołaczyk (red.) Rachunkowość finansową część II (zaawansowana), Stowarzyszenie Księgowych w Polsce, Warszawa 2008r. J. Turyna, Rachunkowość finansowa, Wydawnictwo C.H. Beck, Warszawa 2008r.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Ma wiedzę dotyczącą ustawy o rachunkowości i Krajowych Standardów Rachunkowości</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K_W14 : </w:t>
      </w:r>
    </w:p>
    <w:p>
      <w:pPr/>
      <w:r>
        <w:rPr/>
        <w:t xml:space="preserve">Zna zasady rachunkowości. Rozumie różnicę miedzy polityką rachunkowości, polityką bilansową i kreatywna rachunkowością. Zna zasady sporządzania rachunku przepływów pieniężnych i zestawienia zmian w kapitale własnym </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K_W15: </w:t>
      </w:r>
    </w:p>
    <w:p>
      <w:pPr/>
      <w:r>
        <w:rPr/>
        <w:t xml:space="preserve">Ma podstawową wiedzę o szczególnych przypadkach wyceny takich składników majątku i źródeł ich finansowania, jak: leasing,  instrumenty finansowe, umowy  długoterminowe, rezerwy  i rozliczenia międzyokresowe, kapitały.</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posługiwać się przepisami ustawy o rachunkowości i KSR w celu dokonania prawidłowej wyceny aktywów trwałych i oraz źródeł ich finansowania, a w szczególności: leasingu,  instrumentów finansowych, umów  długoterminowych, rezerw  i rozliczeń międzyokresowych, kapitałów</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keepNext w:val="1"/>
        <w:spacing w:after="10"/>
      </w:pPr>
      <w:r>
        <w:rPr>
          <w:b/>
          <w:bCs/>
        </w:rPr>
        <w:t xml:space="preserve">Efekt K_U07: </w:t>
      </w:r>
    </w:p>
    <w:p>
      <w:pPr/>
      <w:r>
        <w:rPr/>
        <w:t xml:space="preserve">Analizuje rozwiązania elementarnych problemów z zakresu rachunkowości, proponując odpowiednie rozstrzygnięcia dotyczące ewidencji wartości aktywów trwałych i obrotowych oraz źródeł ich finansowania.</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K_U14: </w:t>
      </w:r>
    </w:p>
    <w:p>
      <w:pPr/>
      <w:r>
        <w:rPr/>
        <w:t xml:space="preserve">Potrafi posługiwać się podstawową wiedzą z zakresu rachunkowości  przy sporządzenia rachunku przepływów pieniężnych i zestawienia zmian w kapitale własnym</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pStyle w:val="Heading3"/>
      </w:pPr>
      <w:bookmarkStart w:id="4" w:name="_Toc4"/>
      <w:r>
        <w:t>Profil praktyczny - kompetencje społeczne</w:t>
      </w:r>
      <w:bookmarkEnd w:id="4"/>
    </w:p>
    <w:p>
      <w:pPr>
        <w:keepNext w:val="1"/>
        <w:spacing w:after="10"/>
      </w:pPr>
      <w:r>
        <w:rPr>
          <w:b/>
          <w:bCs/>
        </w:rPr>
        <w:t xml:space="preserve">Efekt K_KO4: </w:t>
      </w:r>
    </w:p>
    <w:p>
      <w:pPr/>
      <w:r>
        <w:rPr/>
        <w:t xml:space="preserve">Stosuje się do zasad etyki zawodowej księgowego, szanuje prawo,  potrafi dostrzec kiedy firma stosuje kreatywną rachunkowość.</w:t>
      </w:r>
    </w:p>
    <w:p>
      <w:pPr>
        <w:spacing w:before="60"/>
      </w:pPr>
      <w:r>
        <w:rPr/>
        <w:t xml:space="preserve">Weryfikacja: </w:t>
      </w:r>
    </w:p>
    <w:p>
      <w:pPr>
        <w:spacing w:before="20" w:after="190"/>
      </w:pPr>
      <w:r>
        <w:rPr/>
        <w:t xml:space="preserve">Efekty kształcenia w zakresie kompetencji społecznych są oceniane  na podstawie pracy w grupie i dyskusji prowadzonej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2024-05-07T10:01:10+02:00</dcterms:created>
  <dcterms:modified xsi:type="dcterms:W3CDTF">2024-05-07T10:01:10+02:00</dcterms:modified>
</cp:coreProperties>
</file>

<file path=docProps/custom.xml><?xml version="1.0" encoding="utf-8"?>
<Properties xmlns="http://schemas.openxmlformats.org/officeDocument/2006/custom-properties" xmlns:vt="http://schemas.openxmlformats.org/officeDocument/2006/docPropsVTypes"/>
</file>