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w tym:
•	Wykład 45 godz.
•	Ćwiczenia 15 godz.
•	Konsultacje – 2 godz.
•	Egzamin – 2 godz,
2) Praca własna studenta: 65 godz.
•	Studia literaturowe, samodzielne rozwiązywanie zadań – 30 godz.
•	Przygotowanie się do kolokwiów – 20 godz.
•	Przygotowanie się do egzaminu – 15 godz.
Razem : 129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w tym:
•	Wykład 45 godz.
•	Ćwiczenia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PA_W01: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PA_U03: </w:t>
      </w:r>
    </w:p>
    <w:p>
      <w:pPr/>
      <w:r>
        <w:rPr/>
        <w:t xml:space="preserve">Potrafi zaprojektować układy regulacji o typowej strukturze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2024-05-02T04:31:36+02:00</dcterms:created>
  <dcterms:modified xsi:type="dcterms:W3CDTF">2024-05-02T04:31:36+02:00</dcterms:modified>
</cp:coreProperties>
</file>

<file path=docProps/custom.xml><?xml version="1.0" encoding="utf-8"?>
<Properties xmlns="http://schemas.openxmlformats.org/officeDocument/2006/custom-properties" xmlns:vt="http://schemas.openxmlformats.org/officeDocument/2006/docPropsVTypes"/>
</file>