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 1</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20 godz., w tym:
•	wykład 15 godz.
•	konsultacje – 3 godz.
•	egzamin – 2 godz.
2) Praca własna studenta - 
•	 przygotowanie do egzaminu: 15 godz.
•	analiza źródeł, kwerenda literatury 15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20 godz., w tym:
•	wykład 15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urządzeń sprzętu multimedialnego,  ich parametrami techniczno – eksploatacyjnymi, metodami ich sprawdzania i kierunkami rozwoju  sprzętu multimedialnego</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(urządzenia omawiane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Klawiatury, urządzenia sterowania kursorem (myszy, tablety graficzne itp.)
</w:t>
      </w:r>
    </w:p>
    <w:p>
      <w:pPr>
        <w:keepNext w:val="1"/>
        <w:spacing w:after="10"/>
      </w:pPr>
      <w:r>
        <w:rPr>
          <w:b/>
          <w:bCs/>
        </w:rPr>
        <w:t xml:space="preserve">Metody oceny: </w:t>
      </w:r>
    </w:p>
    <w:p>
      <w:pPr>
        <w:spacing w:before="20" w:after="190"/>
      </w:pPr>
      <w:r>
        <w:rPr/>
        <w:t xml:space="preserve">Egzamin pisemny w formie pytań opisowych i testowych.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 K_W12, K_W17</w:t>
      </w:r>
    </w:p>
    <w:p>
      <w:pPr>
        <w:spacing w:before="20" w:after="190"/>
      </w:pPr>
      <w:r>
        <w:rPr>
          <w:b/>
          <w:bCs/>
        </w:rPr>
        <w:t xml:space="preserve">Powiązane charakterystyki obszarowe: </w:t>
      </w:r>
      <w:r>
        <w:rPr/>
        <w:t xml:space="preserve">P6U_W, III.P6S_WG, 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2024-05-03T15:57:49+02:00</dcterms:created>
  <dcterms:modified xsi:type="dcterms:W3CDTF">2024-05-03T15:57:49+02:00</dcterms:modified>
</cp:coreProperties>
</file>

<file path=docProps/custom.xml><?xml version="1.0" encoding="utf-8"?>
<Properties xmlns="http://schemas.openxmlformats.org/officeDocument/2006/custom-properties" xmlns:vt="http://schemas.openxmlformats.org/officeDocument/2006/docPropsVTypes"/>
</file>