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 I iw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 w tym:
•	Wykład – 15 godz.
•	Laboratorium – 15 godz.
•	Konsultacje – 2 godz.
2) Praca własna studenta - 30 godz., w tym:
•	Przygotowanie się do kolokwium zaliczeniowego, analiza literatury – 8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ECTS- Liczba godzin bezpośrednich: 32 godz. w tym:
•	Wykład – 15 godz.
•	Laboratorium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punkty ECTS – 37 godz., w tym: 
•	Laboratorium – 15 godz.
•	Przygotowanie do ćwiczeń laboratoryjnych, opracowanie sprawozdań – 22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Specjalne obróbki i mikroobróbki. Umiejętność doboru procesu i jego parametrów do wykonania mikroelementów z materiałów metalowych, ceramicznych i tworzyw sztucznych.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wtryskowe miniaturowych elementów z tworzyw sztucznych,  proszków metalowych i ceramicznych. Mikroobróbka laserowa ubytkowa, powierzchniowa, znakowanie laserowe.
          Technologia   kształtowania sprężyn,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kolokwium zaliczeniowego, zaliczenie ćwiczeń na podstawie ocen uzyskanych z poszczególnych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TUM I_W01: </w:t>
      </w:r>
    </w:p>
    <w:p>
      <w:pPr/>
      <w:r>
        <w:rPr/>
        <w:t xml:space="preserve">Ma wiedzę na temat metod wytwarzania drobnych elemenów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TUM I_U01: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ocena sprawozdania.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2026-09-12T13:23:59+02:00</dcterms:created>
  <dcterms:modified xsi:type="dcterms:W3CDTF">2026-09-12T13:23:59+02:00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