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– 31, w tym:
•	wykład 30 godz.
•	konsultacje – 1 godz.
Praca własna studenta – studia literaturowe,  przygotowanie do zaliczenia 45.
Razem 76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– 31, w tym:
•	wykład 30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inżynieria materiałowa, mechanika i wytrzymałość materiałów, podstawy konstrukcji i technologii  urządzeń mechanicznych i elektromechanicznych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urządzeń   i MEMS ; dobór materiału smarnego:  oleje i smary przyrządowe, smary stałe 
- Metody kontroli  tarcia i procesu zużywania, warstwy i powłoki specjalne: tryboinżynieria powierzchni, zjawisko stick-slip, Wpływ właściwości mechanicznych warstwy wierzchniej na proces tarcia i zużywania 
- Zastosowania praktyczne wiedzy trybologicznej w konstruowaniu, wytwarzaniu i eksploatacji urządzeń mechanicznych i elektromechanicznych w tym miniaturowych urządzeń mechatronicznych takich jak  drobne mechanizmy i mikrosystemy (MEMS).
W ramach wykładu  jednodniowa wycieczka do Instytutu Podstawowych Problemów Techniki PAN celem zapoznania się z badaniami i laboratoriami w Zakładach  Mechaniki Materiałów, Mechaniki Doświadczalnej i Ultradźwięków.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lub ustne wykładu, aktywność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„Principles and applications of Tribology”, B. Bushan, Wiley 2013
„Fundamentals of friction and wear”, E. Gnecco and E. Meyer, Springer 2007
„Nanotribology and nanomechanics”, B. Bushan, Springer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TRB_W15: </w:t>
      </w:r>
    </w:p>
    <w:p>
      <w:pPr/>
      <w:r>
        <w:rPr/>
        <w:t xml:space="preserve">Zna podstawy trybologii i mikrotrybologii  oraz zastosowanie wiedzy przy rozwiązywaniu problemów trybologicznych w węzłach konstruowanych mechanizmów w obszarze urządzeń mechatronicznych. Zna zastosowania praktyczne wiedzy trybologicznej w konstruowaniu, wytwarzaniu i eksploatacji urządzeń mechanicznych i elektromechanicznych, w tym miniaturowych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TRB_U16: </w:t>
      </w:r>
    </w:p>
    <w:p>
      <w:pPr/>
      <w:r>
        <w:rPr/>
        <w:t xml:space="preserve"> Umie wykorzystać podstawową wiedzę w rozwiązywaniu problemów trybologicznych.  Potrafi racjonalnie postępować przy rozwiązywaniu problemów trybologicznych w konstruowanych urządzeniach, a także przy rozwiązywaniu problemów związanych z eksploatacją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trakcie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TRB_KO1: </w:t>
      </w:r>
    </w:p>
    <w:p>
      <w:pPr/>
      <w:r>
        <w:rPr/>
        <w:t xml:space="preserve">Rozumie potrzebę doskonalenia zawodowego w zakresie wiedzy w obszarze trybologii /mikrotrybologii   będącej w stanie dynamicznego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2025-12-30T06:39:57+01:00</dcterms:created>
  <dcterms:modified xsi:type="dcterms:W3CDTF">2025-12-30T06:39:57+01:00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