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biomedyczna</w:t>
      </w:r>
    </w:p>
    <w:p>
      <w:pPr>
        <w:keepNext w:val="1"/>
        <w:spacing w:after="10"/>
      </w:pPr>
      <w:r>
        <w:rPr>
          <w:b/>
          <w:bCs/>
        </w:rPr>
        <w:t xml:space="preserve">Koordynator przedmiotu: </w:t>
      </w:r>
    </w:p>
    <w:p>
      <w:pPr>
        <w:spacing w:before="20" w:after="190"/>
      </w:pPr>
      <w:r>
        <w:rPr/>
        <w:t xml:space="preserve"> prof. dr hab. inż. Tomasz Ciach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podstawową wiedzą z zakresu inżynierii biomedycznej oraz nabycie praktycznych umiejętności wytwarzania podstawowych form biomateriałów i oceny ich właściwości.
</w:t>
      </w:r>
    </w:p>
    <w:p>
      <w:pPr>
        <w:keepNext w:val="1"/>
        <w:spacing w:after="10"/>
      </w:pPr>
      <w:r>
        <w:rPr>
          <w:b/>
          <w:bCs/>
        </w:rPr>
        <w:t xml:space="preserve">Treści kształcenia: </w:t>
      </w:r>
    </w:p>
    <w:p>
      <w:pPr>
        <w:spacing w:before="20" w:after="190"/>
      </w:pPr>
      <w:r>
        <w:rPr/>
        <w:t xml:space="preserve">1. Inżynieria biomedyczna – wprowadzenie.
2. Biomateriały: podział, rodzaje, zastosowania.
3. Sztuczne narządy.
4. Odpowiedź organizmu na biomateriał, interakcje materiał-tkanki, odczyn zapalny.
5. Inżynieria tkankowa.
6. Obrazowanie medyczne.
</w:t>
      </w:r>
    </w:p>
    <w:p>
      <w:pPr>
        <w:keepNext w:val="1"/>
        <w:spacing w:after="10"/>
      </w:pPr>
      <w:r>
        <w:rPr>
          <w:b/>
          <w:bCs/>
        </w:rPr>
        <w:t xml:space="preserve">Metody oceny: </w:t>
      </w:r>
    </w:p>
    <w:p>
      <w:pPr>
        <w:spacing w:before="20" w:after="190"/>
      </w:pPr>
      <w:r>
        <w:rPr/>
        <w:t xml:space="preserve">1. sprawdzian ustny
2. kolokwium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13 wykładów po 2 godziny wykładowe bez wliczania czasu na kolokwia końcowe.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Warunkiem zaliczenia przedmiotu jest uzyskanie pozytywnych ocen z części wykładowej. W przypadku nieuzyskania zaliczenia przedmiotu konieczne jest jego powtórzenie w kolejnym cyklu realizacji zajęć.</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trendach rozwojowych i najistotniejszych osiągnięciach z zakresu inżynierii chemicznej i procesowej dotyczącą biomateriałów, technik obrazowania medycznego oraz wykorzystania technik inżynierii tkankowej.</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przydatną do zrozumienia podstaw fizycznych i chemicznych procesów w inżynierii chemicznej i procesowej, w tym inżynierii biomedycznej.</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interpretować a także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umiejętność planowania i prowadzenia badań w celu wytworzenia biomateriału, korzystać z przyrządów pomiarowych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umiejętność planowania i prowadzenia badań w celu oceny cytotoksyczności materiału z zastosowaniem modelu in vitro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2026-07-29T07:39:12+02:00</dcterms:created>
  <dcterms:modified xsi:type="dcterms:W3CDTF">2026-07-29T07:39:12+02:00</dcterms:modified>
</cp:coreProperties>
</file>

<file path=docProps/custom.xml><?xml version="1.0" encoding="utf-8"?>
<Properties xmlns="http://schemas.openxmlformats.org/officeDocument/2006/custom-properties" xmlns:vt="http://schemas.openxmlformats.org/officeDocument/2006/docPropsVTypes"/>
</file>