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przejściową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75 godz projektu.
2) Praca własna studenta – 35 godz., w tym:
a) studia literaturowe: 10 godz.
b) praca nad przygotowaniem projektu: 25 godz.
3) RAZEM – 110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– liczba godzin kontaktowych -  75 godz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- 110 godzin pracy studenta, w tym: 
a) udział w ćwiczeniach projektowych - 75 godz.;
b) praca nad przygotowaniem projektu – 25 godz.
c) studia literaturowe: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wykonanej pracy przejściowej.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1150-00000-MSP-0521_W1: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1150-00000-MSP-0521_U1: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KMiBM2_U03, KMiBM2_U05, KMiBM2_U08, KMiBM2_U12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T2A_U10, T2A_U11, InzA_U01, T2A_U12, InzA_U02, InzA_U05, T2A_U09, T2A_U10, T2A_U13, InzA_U01, T2A_U18, InzA_U03</w:t>
      </w:r>
    </w:p>
    <w:p>
      <w:pPr>
        <w:keepNext w:val="1"/>
        <w:spacing w:after="10"/>
      </w:pPr>
      <w:r>
        <w:rPr>
          <w:b/>
          <w:bCs/>
        </w:rPr>
        <w:t xml:space="preserve">Efekt 1150-00000-MSP-0521_U2: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T2A_U16, InzA_U03, InzA_U04, InzA_U05, InzA_U06,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1150-00000-MSP-0521_U3: </w:t>
      </w:r>
    </w:p>
    <w:p>
      <w:pPr/>
      <w:r>
        <w:rPr/>
        <w:t xml:space="preserve">Potrafi pozyskiwać dane z literatury i baz danych; potrafi ocenić działanie zasad i praw dotyczących ochrony własności intelektualnej oraz 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KMiBM2_U15, KMiBM_U17, KMiBM2_U18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T2A_U04, T2A_U02, T2A_U03,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1150-00000-MSP-0521_K1: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2024-04-19T11:40:46+02:00</dcterms:created>
  <dcterms:modified xsi:type="dcterms:W3CDTF">2024-04-19T11:40:46+02:00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