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Wytwarzanie ogniw z elementami zarządzania produkcją</w:t>
      </w:r>
    </w:p>
    <w:p>
      <w:pPr>
        <w:keepNext w:val="1"/>
        <w:spacing w:after="10"/>
      </w:pPr>
      <w:r>
        <w:rPr>
          <w:b/>
          <w:bCs/>
        </w:rPr>
        <w:t xml:space="preserve">Koordynator przedmiotu: </w:t>
      </w:r>
    </w:p>
    <w:p>
      <w:pPr>
        <w:spacing w:before="20" w:after="190"/>
      </w:pPr>
      <w:r>
        <w:rPr/>
        <w:t xml:space="preserve">Prof. dr hab. inż. Marek Marcinek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1180-PE000-MSP-0607</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31 godzin, w tym:
a)	30 godz. - wykład;
b)	0 godz. - laboratorium;
c)	1 godz. - konsultacje;
2) Praca własna studenta/ 29 godzin, w tym:
a)	 9 godz. – bieżące przygotowywanie się studenta do wykładu;
b)	 10 godz. – studia literaturowe;
c)	 5 godz. – przygotowywanie się studenta do kolokwium;
d)	 5 godz. – przygotowywanie pracy domowej;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punktów ECTS – liczba godzin kontaktowych - 31, w tym:
a)	30 godz.- wykład;
b)	0 godz. - laboratorium;
c)	1 godz. - konsultacje;
d)	0 godz. - egzamin;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chemii, elektrochemii oraz ekonomiki</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Wykład ma na celu przedstawienie podstawowej wiedzy  z zakresu budowy oraz produkcji nowoczesnych ogniw oraz przedstawienia ich produkcji. 
Obejmie także elementy zarządzania produkcją oraz szeroko pojętym biznesem technologicznym. 
Umiejętności: Umiejętność formułowania wymagań projektowych tj. doboru materiałów potrzebnych do wytwarzania ogniw zgodnych z zasadami zrównoważonego rozwoju.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1.	Podstawowe konstrukcje nowoczesnych ogniw oraz możliwości ich kooperacji z OZE.
2.	Techniki weryfikacji pracy ogniw.
3.	Technologie produkcji ogniw.
4.	Łańcuch wartości
5.	Podstawy zarządzania produkcją i technologiami.
6.	Lean Management
7.	Probiznesowe poszukiwanie pomysłu.
8.	Strategiczna analiza rynku technologicznego.
9.	Zasady analizy potencjału dla danego produktu lub usługi.
10.	Metody analityczne (dane statystyczne, benchmarking, SWOT).
11.	Przykłady wdrożeń zrównoważonego biznesu.
12.	Techniki komunikacji i prezentacji w technobiznesie.
13.	Zasady zrównoważonego biznesu.
Treści mogą ulegać drobnym modyfikacjom.
</w:t>
      </w:r>
    </w:p>
    <w:p>
      <w:pPr>
        <w:keepNext w:val="1"/>
        <w:spacing w:after="10"/>
      </w:pPr>
      <w:r>
        <w:rPr>
          <w:b/>
          <w:bCs/>
        </w:rPr>
        <w:t xml:space="preserve">Metody oceny: </w:t>
      </w:r>
    </w:p>
    <w:p>
      <w:pPr>
        <w:spacing w:before="20" w:after="190"/>
      </w:pPr>
      <w:r>
        <w:rPr/>
        <w:t xml:space="preserve">Z przedmiotu wystawiana jest ocena, na którą składają się ocena z wykładu lub ocena z ewentualnych projektów (dla chętnych
Wykład zaliczany jest w trybie Z2 tj. na podstawie kolokwium i/lub projektu Zaliczenie wykładu odbywa się na podstawie pozytywnej oceny kolokwium i/lub projektu w formie pisemnej lub w formie odpowiedzi ustnej (w razie konieczności wyjaśnienia wątpliwości dot. części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Ma wiedzę o komponentach nowoczesnych ogniw, materiałów do ich budowy.</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K_W11, K_W12, 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Ma wiedzę o kryteriach doboru komponentów ogniw i hybrydowego, wynikających z analizy potrzeb rynkowych, metod ich produkcji oraz zarządzania</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K_W10, K_W11, K_W12, K_W16, K_W17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K_W03: </w:t>
      </w:r>
    </w:p>
    <w:p>
      <w:pPr/>
      <w:r>
        <w:rPr/>
        <w:t xml:space="preserve">Zna zasady określania parametrów pracy ogniw.	</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K_W05, K_W06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pozyskiwać dodatkowe informacje z literatury, innych źródeł, integrować informacje, dokonywać ich interpretacji i wyciągać wnioski</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Potrafi zastosować kryteria doboru komponentów ogniw charakterystyk komponentów opracowanych przez ich producentów. </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Projekty, aktywności podczas zajęć, zadania.</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K_K02: </w:t>
      </w:r>
    </w:p>
    <w:p>
      <w:pPr/>
      <w:r>
        <w:rPr/>
        <w:t xml:space="preserve">Potrafi wykorzystać swój potencjał zawodowy na trudnym współczesnym rynku pracy.</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K_K02, K_K04, K_K05</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2026-02-05T12:24:47+01:00</dcterms:created>
  <dcterms:modified xsi:type="dcterms:W3CDTF">2026-02-05T12:24:47+01:00</dcterms:modified>
</cp:coreProperties>
</file>

<file path=docProps/custom.xml><?xml version="1.0" encoding="utf-8"?>
<Properties xmlns="http://schemas.openxmlformats.org/officeDocument/2006/custom-properties" xmlns:vt="http://schemas.openxmlformats.org/officeDocument/2006/docPropsVTypes"/>
</file>