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przejściową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48 godz projektu.
2) Praca własna studenta – 52 godz., w tym:
a) studia literaturowe: 22 godz.
b) praca nad przygotowaniem projektu: 30 godz.
3) 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 48 godz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- 100 godzin pracy studenta, w tym: 
a) udział w ćwiczeniach projektowych - 48 godz.;
b) praca nad przygotowaniem projektu – 30 godz.
c) studia literaturowe: 32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przejściowej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przejściowej określonym w porozumieniu z promotorem pracy. Tematyka pracy przejściowej powinna być powiązana z realizowanym kierunkiem studiów. Powinna ona dotyczyć zagadnień ogólno-inżynierskich i stwarzać możliwości wykorzystania dotychczas zdobytej wiedzy technicznej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Zaliczany jest na podstawie zrealizowanej pracy przejściowej.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przejściowej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1150-MT000-IZP-0328_W1: </w:t>
      </w:r>
    </w:p>
    <w:p>
      <w:pPr/>
      <w:r>
        <w:rPr/>
        <w:t xml:space="preserve">Posiada wiedzę jak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1150-MT000-IZP-0328_U1: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KMchtr_U11, KMchtr_U14, KMchtr_U24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T1A_U14, InzA_U06, T1A_U15, InzA_U05</w:t>
      </w:r>
    </w:p>
    <w:p>
      <w:pPr>
        <w:keepNext w:val="1"/>
        <w:spacing w:after="10"/>
      </w:pPr>
      <w:r>
        <w:rPr>
          <w:b/>
          <w:bCs/>
        </w:rPr>
        <w:t xml:space="preserve">Efekt 1150-MT000-IZP-0328_U2: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InzA_U03, InzA_U04, InzA_U05</w:t>
      </w:r>
    </w:p>
    <w:p>
      <w:pPr>
        <w:keepNext w:val="1"/>
        <w:spacing w:after="10"/>
      </w:pPr>
      <w:r>
        <w:rPr>
          <w:b/>
          <w:bCs/>
        </w:rPr>
        <w:t xml:space="preserve">Efekt 1150-MT000-IZP-0328_U3: </w:t>
      </w:r>
    </w:p>
    <w:p>
      <w:pPr/>
      <w:r>
        <w:rPr/>
        <w:t xml:space="preserve">Potrafi pozyskiwać dane z literatury i baz danych; potrafi ocenić działanie zasad i praw dotyczących ochrony własności intelektualnej oraz potrafi przygotować przejrzyste pisemne opracowanie i lub prezentację, rozważając wady i zalety różnych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KMchtr_U03, KMchtr_U04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InzA_U02,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1150-MT000-IZP-0328_K1: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KMchtr_K02, KMchtr_K04, KMchtr_K06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2025-07-08T19:41:55+02:00</dcterms:created>
  <dcterms:modified xsi:type="dcterms:W3CDTF">2025-07-08T19:41:55+02:00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