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geometryczne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Skotnicki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 1) Liczba godzin kontaktowych - 25, w tym:
a) laboratorium - 16 godz. ;
b) konsultacje - 9 godz. 
2. Praca własna studenta – 25 godzin, bieżące przygotowywanie się studenta do ćwiczeń laboratoryjnych, studia literaturowe.
3) RAZEM – 50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punktów ECTS - liczba godzin kontaktowych 25, w tym:
a) laboratorium - 16 godz. ;
b) konsultacje - 9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 ECTS - 50 godz., w tym:
a) laboratorium- 16 godz. ;
b) konsultacje - 9 godz.;
c) 25 godzin, bieżące przygotowywanie się studenta do ćwiczeń laboratoryjnych, studia literaturowe.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technikami parametrycznego modelowania geometrycznego 3D.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1.. Tworzenie profilu 2D. Wstawianie więzów w profilu. Wymiarowanie parametryczne profilu. Tworzenie obiektów bryłowych za pomocą wyciągania (dodawanie i odejmowanie brył). Tworzenie otworów, zaokrąglanie, fazowanie krawędzi. 
2.  Tworzenie obiektów  za pomocą obracania  (dodawanie i odejmowanie brył). Tworzenie obiektów referencyjnych (płaszczyzna, prosta, punkt).
3.  Zaawansowane narzędzia budowy profili. Tworzenie obiektów  za pomocą przeciągania  (dodawanie i odejmowanie brył).  
4.  Tworzenie obiektów  za pomocą bryły wieloprzekrojowej  (dodawanie i odejmowanie brył). Polecenie skorupa.
5. Metody powielania obiektów. Lustro, szyk prostokątny i kołowy, szyk użytkownika
6. Tworzenie linii śrubowej i sprężyny ściskanej. Parametryzacja części.
7. Łączenie części i  wykorzystanie algebry brył.
8. Modelowanie części osiowosymetrycznych (wałek, tarcza).
9. Modelowanie korpusu.
10. Modelowanie obiektów rurowych.
11. Modelowanie zespołów.  Analiza zespołu, znajdowanie kolizji. 
12. Tworzenie i symulacja mechanizmów.
13. Tworzenie dokumentacji 2D części.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Każde ćwiczenie laboratorium jest oceniane, ocenie podlega wykonywanie zadań przez studenta w ramach ćwiczeń. Wszystkie oceny muszą być pozytywne. Ocena za laboratorium jest średnią ocen ze wszystkich ćwiczeń.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SolidWorks 2014. Projektowanie maszyn i konstrukcji. Praktyczne przykłady., Jerzy Domański, Helion.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1150-MT000-IZP-0121_W01: </w:t>
      </w:r>
    </w:p>
    <w:p>
      <w:pPr/>
      <w:r>
        <w:rPr/>
        <w:t xml:space="preserve">Zna parametryczny system do modelowania geometrycznego 3D.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KMchtr_W05, KMchtr_W07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InzA_W02, InzA_W03, T1A_W02, T1A_W04,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1150-MT000-IZP-0121_U01: </w:t>
      </w:r>
    </w:p>
    <w:p>
      <w:pPr/>
      <w:r>
        <w:rPr/>
        <w:t xml:space="preserve">Posiada umiejętność tworzenia modelu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InzA_U01, InzA_U02</w:t>
      </w:r>
    </w:p>
    <w:p>
      <w:pPr>
        <w:keepNext w:val="1"/>
        <w:spacing w:after="10"/>
      </w:pPr>
      <w:r>
        <w:rPr>
          <w:b/>
          <w:bCs/>
        </w:rPr>
        <w:t xml:space="preserve">Efekt 1150-MT000-IZP-0121_U02: </w:t>
      </w:r>
    </w:p>
    <w:p>
      <w:pPr/>
      <w:r>
        <w:rPr/>
        <w:t xml:space="preserve">Posiada umiejętność utworzenia dokumentacji rysunkowej dla modelu części.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InzA_U01, InzA_U02</w:t>
      </w:r>
    </w:p>
    <w:p>
      <w:pPr>
        <w:keepNext w:val="1"/>
        <w:spacing w:after="10"/>
      </w:pPr>
      <w:r>
        <w:rPr>
          <w:b/>
          <w:bCs/>
        </w:rPr>
        <w:t xml:space="preserve">Efekt 1150-MT000-IZP-0121_U03: </w:t>
      </w:r>
    </w:p>
    <w:p>
      <w:pPr/>
      <w:r>
        <w:rPr/>
        <w:t xml:space="preserve">Potrafi zbudować parametryczny model geometryczny 3D  części maszynowej.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InzA_U01,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1150-MT000-ISP-0121_K01: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2026-07-30T03:37:45+02:00</dcterms:created>
  <dcterms:modified xsi:type="dcterms:W3CDTF">2026-07-30T03:37:45+02:00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