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26, w tym:
a) wykład – 16 godz.;
b) ćwiczenia – 8 godz.;
c) konsultacje – 2 godz.;
2) Praca własna studenta - 70 godzin, w tym:
a)	 10 godz. – bieżące przygotowywanie się studenta do wykładu;
b)	 15 godz. – studia literaturowe;
c)	 20 godz. – przygotowywanie się studenta do kolokwiów;
d)	 25 godz. – przygotowywanie się studenta do ćwiczeń;
3) RAZEM – 96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- 26, w tym:
a) wykład – 16 godz.;
b) ćwiczenia – 8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godz., w tym:
1) ćwiczenia – 8 godz.;
2) przygotowywanie się do ćwiczeń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zadań w trakcie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1150-MBSIS-IZP-0323_W02: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1150-MBSIS-IZP-0323_W04: </w:t>
      </w:r>
    </w:p>
    <w:p>
      <w:pPr/>
      <w:r>
        <w:rPr/>
        <w:t xml:space="preserve">Potrafi przewidzieć sposoby uszkodzenia konstrukcji silnika spalinowego,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1150-MBSIS-IZP-0323_U01: </w:t>
      </w:r>
    </w:p>
    <w:p>
      <w:pPr/>
      <w:r>
        <w:rPr/>
        <w:t xml:space="preserve">Potrafi wyznaczyć obciążenia cieplne i mechaniczne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2024-05-19T04:59:56+02:00</dcterms:created>
  <dcterms:modified xsi:type="dcterms:W3CDTF">2024-05-19T04:59:56+02:00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