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Nadwozia pojazdów małoseryjnych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 Gierej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1150_MBMPOJ- IZP-404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 
a) wykład – 16 godz.;
b) konsultacje – 6 godz.
2) Praca własna studenta - 65 godzin, w tym:
a)	10 godz. – bieżące przygotowywanie się studenta do wykładu;
b)	 25 godz. – studia literaturowe;
c)	 20 godz. – przygotowywanie się studenta do kolokwiów.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- 22, w tym: 
a) wykład – 16 godz.;
b) konsultacje – 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podstaw konstrukcji maszyn i materiałów konstrukcyjnych(wysłuchanie wykładu: Budowa nadwozi)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projektowania nadwozi pojazdów małoseryjnych z wykorzystanie nowoczesnych materiałów konstrukcyjnych. Umiejętność doboru materiałów konstrukcyjnych i technologii produkcji do przewidywanej skali produkcji pojazdów.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klasyfikacja odmian i pochodnych nadwozi. Przepisy międzynarodowe i normy dotyczące nadwozi pojazdów małoseryjnych. Aspekty ekonomiczne budowy nadwozi małoseryjnych. Materiały i technologie stosowane w budowie nadwozi małoseryjnych. Budowa struktur kompozytowych, CFK i ram przestrzennych. Nadwozia samochodów ciężarowych, autobusów, pojazdów elektrycznych, naczep i nadwozia wagonowe. Nadwozia samochodów sportowych.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Pawłowski J.: Nadwozia Samochodowe. Funkcja użytkowa i struktura nośna. WKiŁ 1978.
2.	Zieliński A.: Konstrukcja nadwozi samochodów osobowych i pochodnych. WKŁ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1150_MBMPOJ- IZP-404_W1: </w:t>
      </w:r>
    </w:p>
    <w:p>
      <w:pPr/>
      <w:r>
        <w:rPr/>
        <w:t xml:space="preserve">Ma uporządkowaną wiedzę z zakresu konstrukcji małoseryjnych nadwozi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IZP-404_W2: </w:t>
      </w:r>
    </w:p>
    <w:p>
      <w:pPr/>
      <w:r>
        <w:rPr/>
        <w:t xml:space="preserve">Zna wymagania normatywne i uwarunkowania ekonomiczne produkcji małoseryjnej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IZP-404_W3: </w:t>
      </w:r>
    </w:p>
    <w:p>
      <w:pPr/>
      <w:r>
        <w:rPr/>
        <w:t xml:space="preserve">Posiada wiedzę o różnych typach struktur stosowanych w produkcji nadwozi małoseryjnych.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IZP-404_W4: </w:t>
      </w:r>
    </w:p>
    <w:p>
      <w:pPr/>
      <w:r>
        <w:rPr/>
        <w:t xml:space="preserve">Posiada wiedzę o zasadach doboru współczesnych materiałów konstrukcyjnych do produkcji małoseryjnych nadwozi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1150_MBMPOJ- IZP-404_W5: </w:t>
      </w:r>
    </w:p>
    <w:p>
      <w:pPr/>
      <w:r>
        <w:rPr/>
        <w:t xml:space="preserve">Posiada wiedzę o sposobach wytwarzania i łączenia współczesnych materiałów konstrukcyjnych stosowanych w budowie małoseryjnych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1150_MBMPOJ- IZP-404_U1: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KMiBM_U14,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InzA_U04,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IZP-404_U2: </w:t>
      </w:r>
    </w:p>
    <w:p>
      <w:pPr/>
      <w:r>
        <w:rPr/>
        <w:t xml:space="preserve">Ma świadomość przyjętych założeń konstrukcyjnych na zakres prac niezbędnych dla wykonania projektu wstępnego nadwozia.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1150_MBMPOJ- IZP-404_U3: </w:t>
      </w:r>
    </w:p>
    <w:p>
      <w:pPr/>
      <w:r>
        <w:rPr/>
        <w:t xml:space="preserve">Potrafi dobrać materiały konstrukcyjne elementów nadwozia, tak by konstrukcja spełniała funkcje użytkowe, normatywne i ekonomiczne.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1150_MBMPOJ- IZP-404_K1: </w:t>
      </w:r>
    </w:p>
    <w:p>
      <w:pPr/>
      <w:r>
        <w:rPr/>
        <w:t xml:space="preserve">Ma świadomość wagi przyjętych założeń na wykonalność konstrukcji oraz potrzebę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2024-04-29T18:16:22+02:00</dcterms:created>
  <dcterms:modified xsi:type="dcterms:W3CDTF">2024-04-29T18:16:22+02:00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