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Struktury energochłonne w pojazdach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Seńko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1150-MBNPO-IZP-0405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 w tym:
a) wykład – 16 godz.;
b) konsultacje – 4 godz.
2) Praca własna studenta - 60 godzin, w tym:
a)	 20 godz. – bieżące przygotowywanie się studenta do wykładu;
b)	 20 godz. – studia literaturowe;
c)	 20 godz. – przygotowywanie się studenta do kolokwiów.
3) RAZEM – 80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- 20, w tym:
a) wykład – 16 godz.;
b) konsultacje – 4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komputerowych metod wspomagania prac inżynierskich, wytrzymałości materiałów i podstaw konstrukcji maszyn (wysłuchanie wykładów: MES, PKM i Wytrzymałość materiałów I i 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praktycznego wykorzystania technik obliczeniowych w procesie projektowania struktur energochłonnych pojazdów. Umiejętność doboru metod symulacyjnych do rodzaju projektowanych struktur energochłonnych pojazdu.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wiadomości o strukturach nośnych pojazdów. Zasady obliczeń struktury nośnej - wyważenie samochodu. Oszacowanie obciążeń eksploatacyjnych, przedstawienie elementarnych modeli drogi, wskaźnik dynamiczny. Elementarne modele obliczeniowe struktur nośnych. Projektowanie belek i węzłów cienkościennych. Struktury energochłonne - podstawy mechaniki zgniatania. Formy lokalnej utraty stateczności. Zgniatanie progresywne kolumn cienkościennych. Zasady projektowania struktur energochłonnych. Materiały piankowe, szkieletowe, typu plaster miodu i cienkościenne wypełnione. Elementarne modele obliczeniowe nadwozi - programy specjalistyczne i MES. Projektowanie na sztywność skrętną, giętną oraz stref energochłonnych. Wyznaczanie częstości drgań własnych i ocena dynamiczna nadwozia. Zaawansowane modele obliczeniowe i optymalizacyjne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zaliczany jest na podstawie 2 kolokwiów.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Christensen J., Bastien Ch.: Nonlinear Optimization of Vehicle Safety Structures: Modeling of Structures Subjected to Large Deformations. Butterworth-Heinemann 2015.
2.	Wicher J.: Zagadnienia bezpieczeństwa samochodu. Oficyna wydawnicza Politechniki Warszawskiej. Warszawa 1997.
3.	Huang M.: Vehicle Crash Mechanics. CRC Press LLC, 2002.
4.	Wicher J.: Bezpieczeństwo samochodów i ruchu drogowego. Wydawnictwa Komunikacji i Łączności.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1150-MBNPO-IZP-0405_W1: </w:t>
      </w:r>
    </w:p>
    <w:p>
      <w:pPr/>
      <w:r>
        <w:rPr/>
        <w:t xml:space="preserve">Ma uporządkowaną wiedzę dotyczącą konstrukcji nadwozi.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1150-MBNPO-IZP-0405_W2: </w:t>
      </w:r>
    </w:p>
    <w:p>
      <w:pPr/>
      <w:r>
        <w:rPr/>
        <w:t xml:space="preserve">Posiada wiedzę o współczesnych technikach projektowania struktur nadwozi w praktyce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1150-MBNPO-IZP-0405_W3: </w:t>
      </w:r>
    </w:p>
    <w:p>
      <w:pPr/>
      <w:r>
        <w:rPr/>
        <w:t xml:space="preserve">Zna podstawowe etapy projektowania struktur energochłonnych pojazdów.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1150-MBNPO-IZP-0405_W4: </w:t>
      </w:r>
    </w:p>
    <w:p>
      <w:pPr/>
      <w:r>
        <w:rPr/>
        <w:t xml:space="preserve">Zna podstawowe właściwości materiałów konstrukcyjnych wykorzystywanych do tworzenia struktur energochłonnych.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1150-MBNPO-IZP-0405_W5: </w:t>
      </w:r>
    </w:p>
    <w:p>
      <w:pPr/>
      <w:r>
        <w:rPr/>
        <w:t xml:space="preserve">Zna podstawowe kryteria wytrzymałościowe umożliwiające ocenę jakości  projektu struktury energochłonnej.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T1A_W06, InzA_W02, InzA_W05, T1A_W02, T1A_W03, T1A_W07, T1A_W02, T1A_W03,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1150-MBNPO-IZP-0405_U1: </w:t>
      </w:r>
    </w:p>
    <w:p>
      <w:pPr/>
      <w:r>
        <w:rPr/>
        <w:t xml:space="preserve">Potrafi sformułować stosowne kryteria projektowe dla danego etapu projektowania nadwozia.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KMiBM_U17, KMiBM_U18, KMiBM_U19, KMiBM_U20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T1A_U10, T1A_U13, T1A_U16, T1A_U01, T1A_U02, T1A_U07, InzA_U05, T1A_U02, T1A_U11</w:t>
      </w:r>
    </w:p>
    <w:p>
      <w:pPr>
        <w:keepNext w:val="1"/>
        <w:spacing w:after="10"/>
      </w:pPr>
      <w:r>
        <w:rPr>
          <w:b/>
          <w:bCs/>
        </w:rPr>
        <w:t xml:space="preserve">Efekt 1150-MBNPO-IZP-0405_U2: </w:t>
      </w:r>
    </w:p>
    <w:p>
      <w:pPr/>
      <w:r>
        <w:rPr/>
        <w:t xml:space="preserve">Potrafi zaplanować realizację obliczeń struktury energochłonnej nadwozia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1150-MBNPO-IZP-0405_U3: </w:t>
      </w:r>
    </w:p>
    <w:p>
      <w:pPr/>
      <w:r>
        <w:rPr/>
        <w:t xml:space="preserve">Potrafi dobrać parametry struktury energochłonnej nadwozia, spełniające kryteria procesu homologacyjnego pojazdu.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1150-MBNPO-IZP-0405_K1: </w:t>
      </w:r>
    </w:p>
    <w:p>
      <w:pPr/>
      <w:r>
        <w:rPr/>
        <w:t xml:space="preserve">Ma świadomość wagi przyjętych założeń na dokładność obliczeń konstrukcji oraz konieczności weryfikacji przyjętych założeń.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2026-09-12T02:41:00+02:00</dcterms:created>
  <dcterms:modified xsi:type="dcterms:W3CDTF">2026-09-12T02:41:00+02:00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