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Budowa nadwozi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Jan Gierej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1150-MBNPO-IZP-0323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- 30, w tym:
a) wykład – 16 godz.;
b) laboratorium – 8 godz.;
c) konsultacje – 6 godz.;
2) Praca własna studenta – w tym:  75 godzin, w tym:
a)	 10 godz. – bieżące przygotowywanie się studenta do wykładu;
b)	 20 godz. – studia literaturowe;
c)	 10 godz. – przygotowywanie się studenta do kolokwium;
d)	 15 godz. – przygotowywanie się studenta do ćwiczeń;
e)	 20 godz. – wykonanie prac domowych.
3) RAZEM – 105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1,3 punktu ECTS – liczba godzin kontaktowych – 30, w tym:
a) wykład – 16 godz.;
b) laboratorium – 8 godz.;
c) konsultacje – 6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punkty ECTS – 40 godz., w tym:
1) ćwiczenia laboratoryjne – 8 godz.;
2) 12 godz. – przygotowywanie się do ćwiczeń laboratoryjnych;
3) 20 godz. – wykonanie prac domowych.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podstaw konstrukcji maszyn i materiałów konstrukcyjnych (wysłuchanie wykładów: PKM i Materiały konstrukcyjne)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projektowania nadwozi pojazdów z wykorzystanie nowoczesnych materiałów konstrukcyjnych. Umiejętność doboru materiałów konstrukcyjnych i technologii produkcji do przewidywanej skali produkcji pojazdów.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Wykład. Podstawowe definicje i klasyfikacja nadwozi. Przepisy międzynarodowe, normy i badania dotyczące nadwozi pojazdów samochodowych. Aspekty ekonomiczne budowy nadwozi pojazdów samochodowych. Ergonomia i stawiane wymagania względem przeznaczenia pojazdu. Upakowanie - rozplanowanie i założenia wymiarowe nadwozia. Zagadnienia aerodynamiki w projektowaniu nadwozia pojazdu. Zapewnienie komfortu i bezpieczeństwa biernego kierowcy i pasażerom pojazdu. Budowa struktur nośnych nadwozi pojazdów. Funkcje elementów wyposażenia wewnętrznego. Główne cechy nadwozi samonośnych. Materiały konstrukcyjne do budowy nadwozi pojazdów. Technologie stosowane w budowie nadwozi.
Laboratorium. Prasy i tłoczniki do kształtowania elementów nadwozia. Sposoby łączenia elementów nadwozi. Lakierowanie nadwozi. Metody przetwórstwa termoplastów. Rodzaje przetwórstwa duroplastów.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Wykład. Podstawowe definicje i klasyfikacja nadwozi. Przepisy międzynarodowe, normy i badania dotyczące nadwozi pojazdów samochodowych. Aspekty ekonomiczne budowy nadwozi pojazdów samochodowych. Ergonomia i stawiane wymagania względem przeznaczenia pojazdu. Upakowanie - rozplanowanie i założenia wymiarowe nadwozia. Zagadnienia aerodynamiki w projektowaniu nadwozia pojazdu. Zapewnienie komfortu i bezpieczeństwa biernego kierowcy i pasażerom pojazdu. Budowa struktur nośnych nadwozi pojazdów. Funkcje elementów wyposażenia wewnętrznego. Główne cechy nadwozi samonośnych. Materiały konstrukcyjne do budowy nadwozi pojazdów. Technologie stosowane w budowie nadwozi.
Laboratorium. Prasy i tłoczniki do kształtowania elementów nadwozia. Sposoby łączenia elementów nadwozi. Lakierowanie nadwozi. Metody przetwórstwa termoplastów. Rodzaje przetwórstwa duroplastów.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Pawłowski J.: Nadwozia Samochodowe. Funkcja użytkowa i struktura nośna. WKiŁ 1978.
2.	Gierej J.: Internetowe materiały wykładowe dot. budowy nadwozi – Poradnik.
3.	Zieliński A.: Konstrukcja nadwozi samochodów osobowych i pochodnych. WKŁ 2008.
4.	Piechna J.: Podstawy aerodynamiki pojazdów. Warszawa: WKŁ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www.edag.pl/pl/praca-i-kariera/materialy-szkoleniowe.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1150-MBNPO-IZP-0323_W1: </w:t>
      </w:r>
    </w:p>
    <w:p>
      <w:pPr/>
      <w:r>
        <w:rPr/>
        <w:t xml:space="preserve">Ma podbudowaną teoretycznie wiedzę dotyczącą konstrukcji nadwozi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T1A_W06, InzA_W02, InzA_W05</w:t>
      </w:r>
    </w:p>
    <w:p>
      <w:pPr>
        <w:keepNext w:val="1"/>
        <w:spacing w:after="10"/>
      </w:pPr>
      <w:r>
        <w:rPr>
          <w:b/>
          <w:bCs/>
        </w:rPr>
        <w:t xml:space="preserve">Efekt 1150-MBNPO-IZP-0323_W2: </w:t>
      </w:r>
    </w:p>
    <w:p>
      <w:pPr/>
      <w:r>
        <w:rPr/>
        <w:t xml:space="preserve">Ma uporządkowaną wiedzę dotyczącą budowy nadwozi.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ustny sprawdzian przed dopuszczeniem do wykonywania ćwiczeń, ocena wykonywania zadań w trakcie realizacji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KMiBM_W14, KMiBM_W17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InzA_W02, T1A_W02, T1A_W03, T1A_W06, InzA_W02, InzA_W05</w:t>
      </w:r>
    </w:p>
    <w:p>
      <w:pPr>
        <w:keepNext w:val="1"/>
        <w:spacing w:after="10"/>
      </w:pPr>
      <w:r>
        <w:rPr>
          <w:b/>
          <w:bCs/>
        </w:rPr>
        <w:t xml:space="preserve">Efekt 1150-MBNPO-IZP-0323_W3: </w:t>
      </w:r>
    </w:p>
    <w:p>
      <w:pPr/>
      <w:r>
        <w:rPr/>
        <w:t xml:space="preserve">Posiada wiedzę o konstrukcji współczesnych nadwozi pojazdów samochodowych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ustny sprawdzian przed dopuszczeniem do wykonywania ćwiczeń, ocena wykonywania zadań w trakcie realizacji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KMiBM_W14, KMiBM_W17, KMiBM_W18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InzA_W02, T1A_W02, T1A_W03, T1A_W06, InzA_W02, InzA_W05, 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1150-MBNPO-IZP-0323_W4: </w:t>
      </w:r>
    </w:p>
    <w:p>
      <w:pPr/>
      <w:r>
        <w:rPr/>
        <w:t xml:space="preserve">Zna podstawowe etapy i techniki wytwarzania nadwozi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KMiBM_W14, KMiBM_W17, KMiBM_W18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InzA_W02, T1A_W02, T1A_W03, T1A_W06, InzA_W02, InzA_W05, T1A_W02, T1A_W03, T1A_W07</w:t>
      </w:r>
    </w:p>
    <w:p>
      <w:pPr>
        <w:keepNext w:val="1"/>
        <w:spacing w:after="10"/>
      </w:pPr>
      <w:r>
        <w:rPr>
          <w:b/>
          <w:bCs/>
        </w:rPr>
        <w:t xml:space="preserve">Efekt 1150-MBNPO-IZP-0323_W5: </w:t>
      </w:r>
    </w:p>
    <w:p>
      <w:pPr/>
      <w:r>
        <w:rPr/>
        <w:t xml:space="preserve">Posiada wiedzę nt. zasad planowania budowy nadwozia pojazdu z wyznaczeniem głównych założeń pojazdu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ustny sprawdzian przed dopuszczeniem do wykonywania ćwiczeń, ocena wykonywania zadań w trakcie realizacji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KMiBM_W14, KMiBM_W17, KMiBM_W18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InzA_W02, T1A_W02, T1A_W03, T1A_W06, InzA_W02, InzA_W05, T1A_W02, T1A_W03,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1150-MBNPO-IZP-0323_U1: </w:t>
      </w:r>
    </w:p>
    <w:p>
      <w:pPr/>
      <w:r>
        <w:rPr/>
        <w:t xml:space="preserve">Potrafi sformułować stosowne kryteria projektowe dla danego etapu projektowania nadwozia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1150-MBNPO-IZP-0323_U2: </w:t>
      </w:r>
    </w:p>
    <w:p>
      <w:pPr/>
      <w:r>
        <w:rPr/>
        <w:t xml:space="preserve">Potrafi  ocenić wpływ założeń konstrukcyjnych struktury na klasę i rodzaj nadwozia pojazdu.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ustny sprawdzian przed dopuszczeniem do wykonywania ćwiczeń, ocena wykonywania zadań w trakcie realizacji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1150-MBNPO-IZP-0323_U3: </w:t>
      </w:r>
    </w:p>
    <w:p>
      <w:pPr/>
      <w:r>
        <w:rPr/>
        <w:t xml:space="preserve">Ma świadomość przyjętych wstępnych założeń konstrukcyjnych nadwozia na klasę i rodzaj pojazdu.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ustny sprawdzian przed dopuszczeniem do wykonywania ćwiczeń, ocena wykonywania zadań w trakcie realizacji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KMiBM_U15, KMiBM_U16, KMiBM_U17, 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T1A_U11, T1A_U12, InzA_U06, InzA_U08, T1A_U08, T1A_U09, T1A_U10, T1A_U08, T1A_U09, T1A_U15, T1A_U10, T1A_U13, T1A_U16</w:t>
      </w:r>
    </w:p>
    <w:p>
      <w:pPr>
        <w:keepNext w:val="1"/>
        <w:spacing w:after="10"/>
      </w:pPr>
      <w:r>
        <w:rPr>
          <w:b/>
          <w:bCs/>
        </w:rPr>
        <w:t xml:space="preserve">Efekt 1150-MBNPO-IZP-0323_U4: </w:t>
      </w:r>
    </w:p>
    <w:p>
      <w:pPr/>
      <w:r>
        <w:rPr/>
        <w:t xml:space="preserve">Potrafi zaplanować budowę nadwozia pojazdu z wyznaczeniem głównych założeń pojazdu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zaliczeniowe, ustny sprawdzian przed dopuszczeniem do wykonywania ćwiczeń, ocena wykonywania zadań w trakcie realizacji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T1A_U13, 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1150-MBNPO-IZP-0323_K1: </w:t>
      </w:r>
    </w:p>
    <w:p>
      <w:pPr/>
      <w:r>
        <w:rPr/>
        <w:t xml:space="preserve">Potrafi współdziałać i pracować w grupie przy realizacji ćwiczeń laboratoryjnych,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zadań w trakcie realizacji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InzA_K02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2025-07-07T11:35:15+02:00</dcterms:created>
  <dcterms:modified xsi:type="dcterms:W3CDTF">2025-07-07T11:35:15+02:00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