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komputerowe w konstrukcji nadwozi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Jarosław Seńko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1150-MBMPO-IZP-0321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- 20, w tym:
a) wykład – 10 godz.;
b) laboratorium – 6 godz.;
c) konsultacje – 4 godz.;
2) Praca własna studenta -  80 godzin, w tym:
a)	 10 godz. – bieżące przygotowywanie się studenta do wykładu;
b)	 20 godz. – studia literaturowe;
c)	 10 godz. – przygotowywanie się studenta do egzaminu;
d)	 20 godz. – przygotowywanie się studenta do ćwiczeń;
e)	 20 godz. – wykonanie prac domowych.
3) RAZEM – 100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punktu ECTS – liczba godzin kontaktowych - 20, w tym:
a) wykład – 10 godz.;
b) laboratorium – 6 godz.;
c) konsultacje – 4 godz.;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– 46 godz., w tym:
1) ćwiczenia laboratoryjne – 6 godz.;
2) 20 godz. – przygotowywanie się do ćwiczeń laboratoryjnych;
3) 20 godz. – wykonanie prac domowych.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grafiki inżynierskiej, podstaw konstrukcji maszyn i modelowania geometrycznego (wysłuchanie wykładów: Podstawy zapisu konstrukcji, PKM i Modelowanie geometryczne).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 praktycznego wykorzystania systemów komputerowych w procesie projektowania i konstruowania nadwozi. Umiejętność doboru metodyki wykorzystania systemów komputerowych do realizacji postawionego zadania projektowego.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Wykład. Omówienie i klasyfikacja zintegrowanych systemów projektowania w budowie nadwozi pojazdów. Określenie zasad budowy modeli geometrycznych. Bryłowe modele geometryczne w projektowaniu nadwozi. Metodyka budowy modeli powierzchniowych. Zasady projektowania powierzchni klasy A. Podstawy ergonomii z wykorzystaniem zintegrowanych systemów projektowania. Zastosowanie metod komputerowych dla opracowania koncepcji rodzin nadwozi pojazdów. Zasady projektowania węzłów konstrukcyjnych nadwozi. Metody symulacyjnych badania drgań i hałasu struktury nadwozia. Metody symulacyjnych badania aerodynamiki pojazdu. Metody modelowania zderzenia pojazdu z przeszkodą. Wyznaczenia obciążeń dynamicznych nadwozia pochodzących od drogi.
Laboratorium. Wyznaczanie mas i momentów bezwładności w systemach CAx. Badania symulacyjne trajektorii ruchu podzespołów pojazdów. Badania symulacyjne kinematyki mechanizmów nadwozi. Symulacyjne badania dynamiki pionowej pojazdów. Symulacyjne badania oporu aerodynamicznego pojazdów.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
Zaliczany jest na podstawie pisemnego egzaminu.
Laboratorium:
Przed rozpoczęciem ćwiczenia przeprowadzany jest ustny/pisemny krótki sprawdzian wiedzy weryfikujący przygotowanie studentów  do ćwiczeń (tzw. „wejściówka”). Każde ćwiczenie jest zaliczane na podstawie poprawnie wykonanego zadania, przyjętego i ocenionego przez prowadzącego dane ćwiczenie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Anderl R. Binde P.: Simulationen mit NX: Kinematik, FEM, CFD, EM und Datenmanagement. Mit zahlreichen Beispielen für NX 9. Carl Hanser Verlag GmbH &amp; Co. KG; 2014.
2.	Macey S., Wardle G.: H-Point: The Fundamentals of Car Design &amp; Packaging. Designstudio Pr 2014.
3.	Kiciak P.: Podstawy modelowania krzywych i powierzchni. Warszawa: WNT 2005.
4.	Piechna J.: Podstawy aerodynamiki pojazdów. Warszawa: WKŁ 2000.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1150-MBMPO-IZP-0321_W1: </w:t>
      </w:r>
    </w:p>
    <w:p>
      <w:pPr/>
      <w:r>
        <w:rPr/>
        <w:t xml:space="preserve">Posiada wiedzę o kryteriach projektowania widzialnych powierzchni pojazdów.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KMiBM_W17, KMiBM_W18, KMiBM_W19, KMiBM_W20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T1A_W06, InzA_W02, InzA_W05, T1A_W02, T1A_W03, T1A_W07, T1A_W02, T1A_W03, T1A_W02, T1A_W03, T1A_W08</w:t>
      </w:r>
    </w:p>
    <w:p>
      <w:pPr>
        <w:keepNext w:val="1"/>
        <w:spacing w:after="10"/>
      </w:pPr>
      <w:r>
        <w:rPr>
          <w:b/>
          <w:bCs/>
        </w:rPr>
        <w:t xml:space="preserve">Efekt 1150-MBMPO-IZP-0321_W2: </w:t>
      </w:r>
    </w:p>
    <w:p>
      <w:pPr/>
      <w:r>
        <w:rPr/>
        <w:t xml:space="preserve">Ma uporządkowaną wiedzę dotyczącą modelowania geometrycznego powierzchni widzialnych nadwozi.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ustny sprawdzian przed dopuszczeniem do wykonywania ćwiczeń, ocena wykonywania zadań w trakcie realizacji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KMiBM_W17, KMiBM_W18, KMiBM_W19, KMiBM_W20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T1A_W06, InzA_W02, InzA_W05, T1A_W02, T1A_W03, T1A_W07, T1A_W02, T1A_W03, T1A_W02, T1A_W03, T1A_W08</w:t>
      </w:r>
    </w:p>
    <w:p>
      <w:pPr>
        <w:keepNext w:val="1"/>
        <w:spacing w:after="10"/>
      </w:pPr>
      <w:r>
        <w:rPr>
          <w:b/>
          <w:bCs/>
        </w:rPr>
        <w:t xml:space="preserve">Efekt 1150-MBMPO-IZP-0321_W3: </w:t>
      </w:r>
    </w:p>
    <w:p>
      <w:pPr/>
      <w:r>
        <w:rPr/>
        <w:t xml:space="preserve">Zna podstawowe metody powierzchniowego i bryłowego modelowania geometrycznego konstrukcji inżynierskich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ustny sprawdzian przed dopuszczeniem do wykonywania ćwiczeń, ocena wykonywania zadań w trakcie realizacji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KMiBM_W17, KMiBM_W18, KMiBM_W19, KMiBM_W20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T1A_W06, InzA_W02, InzA_W05, T1A_W02, T1A_W03, T1A_W07, T1A_W02, T1A_W03, T1A_W02, T1A_W03, T1A_W08</w:t>
      </w:r>
    </w:p>
    <w:p>
      <w:pPr>
        <w:keepNext w:val="1"/>
        <w:spacing w:after="10"/>
      </w:pPr>
      <w:r>
        <w:rPr>
          <w:b/>
          <w:bCs/>
        </w:rPr>
        <w:t xml:space="preserve">Efekt 1150-MBMPO-IZP-0321_W4: </w:t>
      </w:r>
    </w:p>
    <w:p>
      <w:pPr/>
      <w:r>
        <w:rPr/>
        <w:t xml:space="preserve">Posiada wiedzę o inżynierskich systemach komputerowych wykorzystywanych do rozmieszczenia w nadwoziu komponentów pojazdu.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KMiBM_W17, KMiBM_W18, KMiBM_W19, KMiBM_W20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T1A_W06, InzA_W02, InzA_W05, T1A_W02, T1A_W03, T1A_W07, T1A_W02, T1A_W03, T1A_W02, T1A_W03, T1A_W08</w:t>
      </w:r>
    </w:p>
    <w:p>
      <w:pPr>
        <w:keepNext w:val="1"/>
        <w:spacing w:after="10"/>
      </w:pPr>
      <w:r>
        <w:rPr>
          <w:b/>
          <w:bCs/>
        </w:rPr>
        <w:t xml:space="preserve">Efekt 1150-MBMPO-IZP-0321_W5: </w:t>
      </w:r>
    </w:p>
    <w:p>
      <w:pPr/>
      <w:r>
        <w:rPr/>
        <w:t xml:space="preserve">Posiada wiedzę o inżynierskich systemach komputerowych wykorzystywanych do oszacowania obciążeń nadwozi pojazdów.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ustny sprawdzian przed dopuszczeniem do wykonywania ćwiczeń, ocena wykonywania zadań w trakcie realizacji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KMiBM_W17, KMiBM_W18, KMiBM_W19, KMiBM_W20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T1A_W06, InzA_W02, InzA_W05, T1A_W02, T1A_W03, T1A_W07, T1A_W02, T1A_W03, T1A_W02, T1A_W03,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1150-MBMPO-IZP-0321_U1: </w:t>
      </w:r>
    </w:p>
    <w:p>
      <w:pPr/>
      <w:r>
        <w:rPr/>
        <w:t xml:space="preserve">Potrafi sformułować stosowne kryteria projektowe dla danego etapu projektowania nadwozia.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KMiBM_U15, KMiBM_U16, KMiBM_U17, KMiBM_U18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T1A_U11, T1A_U12, InzA_U06, InzA_U08, T1A_U08, T1A_U09, T1A_U10, T1A_U08, T1A_U09, T1A_U15, T1A_U10, T1A_U13, T1A_U16</w:t>
      </w:r>
    </w:p>
    <w:p>
      <w:pPr>
        <w:keepNext w:val="1"/>
        <w:spacing w:after="10"/>
      </w:pPr>
      <w:r>
        <w:rPr>
          <w:b/>
          <w:bCs/>
        </w:rPr>
        <w:t xml:space="preserve">Efekt 1150-MBMPO-IZP-0321_U2: </w:t>
      </w:r>
    </w:p>
    <w:p>
      <w:pPr/>
      <w:r>
        <w:rPr/>
        <w:t xml:space="preserve">Potrafi wyznaczyć obciążenia projektowe dla węzłów konstrukcyjnych nadwozia.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ustny sprawdzian przed dopuszczeniem do wykonywania ćwiczeń, ocena wykonywania zadań w trakcie realizacji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KMiBM_U15, KMiBM_U16, KMiBM_U17, KMiBM_U18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T1A_U11, T1A_U12, InzA_U06, InzA_U08, T1A_U08, T1A_U09, T1A_U10, T1A_U08, T1A_U09, T1A_U15, T1A_U10, T1A_U13, T1A_U16</w:t>
      </w:r>
    </w:p>
    <w:p>
      <w:pPr>
        <w:keepNext w:val="1"/>
        <w:spacing w:after="10"/>
      </w:pPr>
      <w:r>
        <w:rPr>
          <w:b/>
          <w:bCs/>
        </w:rPr>
        <w:t xml:space="preserve">Efekt 1150-MBMPO-IZP-0321_U3: </w:t>
      </w:r>
    </w:p>
    <w:p>
      <w:pPr/>
      <w:r>
        <w:rPr/>
        <w:t xml:space="preserve">Potrafi dobrać parametry powierzchni widzialnych nadwozia, spełniające oczekiwania względem jakości powierzchni.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ustny sprawdzian przed dopuszczeniem do wykonywania ćwiczeń, ocena wykonywania zadań w trakcie realizacji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KMiBM_U15, KMiBM_U16, KMiBM_U17, KMiBM_U18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T1A_U11, T1A_U12, InzA_U06, InzA_U08, T1A_U08, T1A_U09, T1A_U10, T1A_U08, T1A_U09, T1A_U15, T1A_U10, T1A_U13,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1150-MBMPO-IZP-0321_K1: </w:t>
      </w:r>
    </w:p>
    <w:p>
      <w:pPr/>
      <w:r>
        <w:rPr/>
        <w:t xml:space="preserve">Potrafi współdziałać i pracować w grupie przy realizacji ćwiczeń laboratoryjnych, przyjmując w niej różne role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wykonywania zadań w trakcie realizacji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InzA_K02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2026-09-12T13:24:15+02:00</dcterms:created>
  <dcterms:modified xsi:type="dcterms:W3CDTF">2026-09-12T13:24:15+02:00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