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-26, w tym:
a)	wykład - 16 godz.;
b)	laboratorium- 8 godz.;
c)  konsultacje- 2 godz
2)  Praca własna studenta - 64 godz, w tym 
a)	34 godz. – bieżące przygotowywanie się do ćwiczeń  i wykładów (analiza literatury),
b)	20 godz. – opracowanie wyników, przygotowanie sprawozdań,
c)	10 godz. - przygotowywanie się do 2 kolokwiów.
3) RAZEM – 90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 punkt ECTS – liczba godzin kontaktowych - 26., w tym:
a)	wykład -16 godz.;
b)	laboratorium- 8 godz.;
c)  konsultacje- 2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- 46 godz., w tym:
1)	8 godz. - ćwiczenia  laboratoryjne;  
2)	18 godz. – przygotowywanie się do ćwiczeń laboratoryjnych;
3)	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– grupy 7-12 osób, wykład –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
- Wielo-osprzętowe maszyny ciągnikowe.( Koparko-ładowarki. Koparko-spycharki).
- Maszyny do zagęszczania mas ziemnych. 
- Maszyny do wykonywania otworów i szczelin,
- Maszyny do układania i regeneracji nawierzchni utwardzonych (betonowych i asfaltowych), 
- Maszyny do kruszenia materiałów budowlanych, 
- Maszyny do produkcji i transportu betonu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Badanie procesów kruszenia w modelowej kruszarce szczękowej.
Współpraca maszyn roboczych z ośrodkiem gruntowym. 
Koparka -proces urabiania gruntu. 
Programowanie sterowników PLC.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Pozytywna ocena przygotowania studenta do zajęć – krótki sprawdzian pisemny/ustny „wejściówka”, poprawnie wykonane ćwiczenie i oddanie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1150-MBMRC-IZP-0323_W1: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1150-MBMRC-IZP-0323_W2: </w:t>
      </w:r>
    </w:p>
    <w:p>
      <w:pPr/>
      <w:r>
        <w:rPr/>
        <w:t xml:space="preserve">Posiada wiedzę o rodzajach maszyn budowlanych ich przeznaczeniu, budowie, zasadach działania i trendach rozwojowych;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1150-MBMRC-IZP-0323_U1: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1150-MBMRC-IZP-0323_U2: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1150-MBMRC-IZP-0323_U3: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1150-MBMRC-IZP-0323_K1: </w:t>
      </w:r>
    </w:p>
    <w:p>
      <w:pPr/>
      <w:r>
        <w:rPr/>
        <w:t xml:space="preserve">Umie pracować indywidualnie i w zespole przy prowadzeniu badan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2024-05-08T13:00:44+02:00</dcterms:created>
  <dcterms:modified xsi:type="dcterms:W3CDTF">2024-05-08T13:00:44+02:00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