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diagnostyki</w:t>
      </w:r>
    </w:p>
    <w:p>
      <w:pPr>
        <w:keepNext w:val="1"/>
        <w:spacing w:after="10"/>
      </w:pPr>
      <w:r>
        <w:rPr>
          <w:b/>
          <w:bCs/>
        </w:rPr>
        <w:t xml:space="preserve">Koordynator przedmiotu: </w:t>
      </w:r>
    </w:p>
    <w:p>
      <w:pPr>
        <w:spacing w:before="20" w:after="190"/>
      </w:pPr>
      <w:r>
        <w:rPr/>
        <w:t xml:space="preserve">Dr inż. Szymon Gontarz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Mechatronika Pojazdów i Maszyn Roboczych</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1150-MT000-ISP-0315</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34, w tym:
a) wykład -15 godz.;
b) laboratorium- 15 godz.;
c) konsultacje - 2 godz.;
d) egzamin – 2 godz.;
2) Praca własna studenta – 26, w tym:
a) studia literaturowe: 5 godz.;
b) przygotowanie do zajęć: 3 godz.;
c) przygotowywanie sprawozdań z ćwiczeń laboratoryjnych: 10 godz.
d) przygotowywanie się studenta do egzaminu: 8 godz. 
3) RAZEM – 60 godz.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 ECTS – liczba godzin kontaktowych - 34, w tym:
a) wykład -15 godz.;
b) laboratorium- 15 godz.;
c) konsultacje - 2 godz.;
d) egzamin – 2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punkt ECTS – liczba godzin kontaktowych - 25, w tym:
a) udział w ćwiczeniach laboratoryjnych - 15 godz.;
b) przygotowywanie sprawozdań z ćwiczeń laboratoryjnych: 10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15h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Wymagana znajomość analizy matematycznej, postaw fizyki w szczególności teorii drgań, mechaniki oraz wytrzymałości materiałów.</w:t>
      </w:r>
    </w:p>
    <w:p>
      <w:pPr>
        <w:keepNext w:val="1"/>
        <w:spacing w:after="10"/>
      </w:pPr>
      <w:r>
        <w:rPr>
          <w:b/>
          <w:bCs/>
        </w:rPr>
        <w:t xml:space="preserve">Limit liczby studentów: </w:t>
      </w:r>
    </w:p>
    <w:p>
      <w:pPr>
        <w:spacing w:before="20" w:after="190"/>
      </w:pPr>
      <w:r>
        <w:rPr/>
        <w:t xml:space="preserve">zgodnie z zarządzeniem Rektora PW</w:t>
      </w:r>
    </w:p>
    <w:p>
      <w:pPr>
        <w:keepNext w:val="1"/>
        <w:spacing w:after="10"/>
      </w:pPr>
      <w:r>
        <w:rPr>
          <w:b/>
          <w:bCs/>
        </w:rPr>
        <w:t xml:space="preserve">Cel przedmiotu: </w:t>
      </w:r>
    </w:p>
    <w:p>
      <w:pPr>
        <w:spacing w:before="20" w:after="190"/>
      </w:pPr>
      <w:r>
        <w:rPr/>
        <w:t xml:space="preserve">Zdobycie wiedzy z zakresu matematyki, fizyki, chemii i innych obszarów właściwych dla studiowanego kierunku, przydatnej do formułowania i rozwiązywania prostych zadań z zakresu diagnostyki, eksploatacji obiektów technicznych. Poznanie budowy i zasady działania systemów diagnostycznych. Zrozumienie aspektów ekonomicznych, społecznych, prawnych i eksploatacyjnych w dziedzinie diagnostyki oraz trendów rozwoju współczesnych układów mechanicznych. Nabycie umiejętności analizy i identyfikacji sposobu funkcjonowania, oceny i formułowania wniosków prostych zadań inżynierskich. Zrozumienie powagi aspektów ekologicznych, ekonomicznych, wpływu na środowisko, skutków działania wyeksploatowanych maszyn i urządzeń oraz potrzebę diagnostyki takich zespołów urządzeń.</w:t>
      </w:r>
    </w:p>
    <w:p>
      <w:pPr>
        <w:keepNext w:val="1"/>
        <w:spacing w:after="10"/>
      </w:pPr>
      <w:r>
        <w:rPr>
          <w:b/>
          <w:bCs/>
        </w:rPr>
        <w:t xml:space="preserve">Treści kształcenia: </w:t>
      </w:r>
    </w:p>
    <w:p>
      <w:pPr>
        <w:spacing w:before="20" w:after="190"/>
      </w:pPr>
      <w:r>
        <w:rPr/>
        <w:t xml:space="preserve">Wykład:
Ogólna wiedza nt. zasady rozwiązywania problemów diagnostyki technicznej oraz metod i środków diagnozowania. 
1. Modele błędów i procesów.
2. Fizykalne modele sygnałów.
3. Detekcja błędu na podstawie modelu sygnału.
4. Analiza sygnałów okresowych.
5. Detekcja błędów i uszkodzeń za pomocą metod identyfikacji procesów.
6. Porównanie metod detekcji uszkodzeń.
7. Procedury diagnostyczne.
8. Diagnozowanie uszkodzeń za pomocą metod klasyfikacji.
9. Wnioskowanie diagnostyczne 
10. Metody statystyczne w diagnostyce.
11. Eksperymenty diagnostyczne.
Laboratorium:
Praktyczne zapoznanie się z metodami i środkami diagnostyki technicznej.
1. Wykorzystanie zjawisk falowych w diagnostyce konstrukcji sprężonych.
2. Diagnostyka stanu naprężeń.
3. Diagnostyka gigacyklowego procesu zmęczeniowego.
4. Diagnostyka hydraulicznych elementów wykonawczych układów hydraulicznych.
5. Diagnostyka konstrukcji za pomocą analizy modalnej.
</w:t>
      </w:r>
    </w:p>
    <w:p>
      <w:pPr>
        <w:keepNext w:val="1"/>
        <w:spacing w:after="10"/>
      </w:pPr>
      <w:r>
        <w:rPr>
          <w:b/>
          <w:bCs/>
        </w:rPr>
        <w:t xml:space="preserve">Metody oceny: </w:t>
      </w:r>
    </w:p>
    <w:p>
      <w:pPr>
        <w:spacing w:before="20" w:after="190"/>
      </w:pPr>
      <w:r>
        <w:rPr/>
        <w:t xml:space="preserve">Laboratorium: Każde ćwiczenie laboratoryjne ocenione zostaje bezpośrednio po jego zakończeniu. Podstawą oceny jest poprawne wykonanie ćwiczenia zakończone sprawozdaniem oraz jego ustne obronienie. Jest to możliwe po dopuszczeniu studenta do wykonania ćwiczenia po uprzedniej weryfikacji teoretycznego przygotowania studenta do zajęć. Warunkiem koniecznym zaliczenia laboratorium jest odrobienie w danym semestrze wszystkich ćwiczeń przewidzianych w programie i zaliczenie każdego ćwiczenia na co najmniej 3. Ocena końcowa laboratorium jest ustalana na podstawie średniej liczby ocen uzyskanych z poszczególnych ćwiczeń objętych harmonogramem zajęć laboratoryjnych. Średnia odpowiada, po zaokrągleniu, ocenie końcowej.
Wykład: Zaliczenie części wykładowej odbywa się podczas egzaminu pisemnego, zgodnie z harmonogramem sesji egzaminacyjnej.
Ocena łączna: Ocena łączna z przedmiotu jest średnią ważoną z ocen uzyskanych z części laboratoryjnej oraz wykładowej.  Warunkiem otrzymania oceny pozytywnej jest zaliczenie no ocenę minimum 3.0 obu części laboratoryjnej i wykładowej.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Cempel Cz.: 1989. Diagnostyka wibroakustyczna maszyn. PWN Warszawa.
2. Smalko Z.: 1998. Podstawy Eksploatacji Technicznej Pojazdów. Oficyna Wydawnicza Politechniki Warszawskiej.
3. Levitt: 1997. The Handbook of Maintenance Management, Idustrial Pres Jnc.
4. Radkowski S.: 2002. Wibroakustyczna Diagnostyka Uszkodzeń Niskoenergetycznych. ITE Radom-Warszawa
</w:t>
      </w:r>
    </w:p>
    <w:p>
      <w:pPr>
        <w:keepNext w:val="1"/>
        <w:spacing w:after="10"/>
      </w:pPr>
      <w:r>
        <w:rPr>
          <w:b/>
          <w:bCs/>
        </w:rPr>
        <w:t xml:space="preserve">Witryna www przedmiotu: </w:t>
      </w:r>
    </w:p>
    <w:p>
      <w:pPr>
        <w:spacing w:before="20" w:after="190"/>
      </w:pPr>
      <w:r>
        <w:rPr/>
        <w:t xml:space="preserve">Wszystkie materiały do przedmiotu Podstawy Diagnostyki dostępne są na stronie intranetowej przedmiotu: http://Www.mechatronika.simr.pw.edu.pl po zalogowaniu. Hasło dostępu i login podane zostaną przez prowadzącego zajęcia.</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1150-MT000-ISP-0315_W1: </w:t>
      </w:r>
    </w:p>
    <w:p>
      <w:pPr/>
      <w:r>
        <w:rPr/>
        <w:t xml:space="preserve">Posiada uporządkowaną, podbudowaną teoretycznie wiedzę ogólną obejmującą kluczowe zagadnienia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KMChtr_W05, KMchtr_W14</w:t>
      </w:r>
    </w:p>
    <w:p>
      <w:pPr>
        <w:spacing w:before="20" w:after="190"/>
      </w:pPr>
      <w:r>
        <w:rPr>
          <w:b/>
          <w:bCs/>
        </w:rPr>
        <w:t xml:space="preserve">Powiązane efekty obszarowe: </w:t>
      </w:r>
      <w:r>
        <w:rPr/>
        <w:t xml:space="preserve">T1A_W02, T1A_W07, InzA_W02, InzA_W03, T1A_W02, InzA_W02</w:t>
      </w:r>
    </w:p>
    <w:p>
      <w:pPr>
        <w:keepNext w:val="1"/>
        <w:spacing w:after="10"/>
      </w:pPr>
      <w:r>
        <w:rPr>
          <w:b/>
          <w:bCs/>
        </w:rPr>
        <w:t xml:space="preserve">Efekt 1150-MT000-ISP-0315_W2: </w:t>
      </w:r>
    </w:p>
    <w:p>
      <w:pPr/>
      <w:r>
        <w:rPr/>
        <w:t xml:space="preserve">Posiada wiedzę ogólną niezbędną do rozumienia ekonomicznych, społecznych i prawnych aspektów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KMchtr_W21</w:t>
      </w:r>
    </w:p>
    <w:p>
      <w:pPr>
        <w:spacing w:before="20" w:after="190"/>
      </w:pPr>
      <w:r>
        <w:rPr>
          <w:b/>
          <w:bCs/>
        </w:rPr>
        <w:t xml:space="preserve">Powiązane efekty obszarowe: </w:t>
      </w:r>
      <w:r>
        <w:rPr/>
        <w:t xml:space="preserve">T1A_W08, InzA_W03</w:t>
      </w:r>
    </w:p>
    <w:p>
      <w:pPr>
        <w:keepNext w:val="1"/>
        <w:spacing w:after="10"/>
      </w:pPr>
      <w:r>
        <w:rPr>
          <w:b/>
          <w:bCs/>
        </w:rPr>
        <w:t xml:space="preserve">Efekt 1150-MT000-ISP-0315_W3: </w:t>
      </w:r>
    </w:p>
    <w:p>
      <w:pPr/>
      <w:r>
        <w:rPr/>
        <w:t xml:space="preserve">Posiada podstawową wiedzę o trendach rozwojowych z zakresu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KMchtr_W16</w:t>
      </w:r>
    </w:p>
    <w:p>
      <w:pPr>
        <w:spacing w:before="20" w:after="190"/>
      </w:pPr>
      <w:r>
        <w:rPr>
          <w:b/>
          <w:bCs/>
        </w:rPr>
        <w:t xml:space="preserve">Powiązane efekty obszarowe: </w:t>
      </w:r>
      <w:r>
        <w:rPr/>
        <w:t xml:space="preserve">T1A_W04, T1A_W07, InzA_W02</w:t>
      </w:r>
    </w:p>
    <w:p>
      <w:pPr>
        <w:keepNext w:val="1"/>
        <w:spacing w:after="10"/>
      </w:pPr>
      <w:r>
        <w:rPr>
          <w:b/>
          <w:bCs/>
        </w:rPr>
        <w:t xml:space="preserve">Efekt 1150-MT000-ISP-0315_W4: </w:t>
      </w:r>
    </w:p>
    <w:p>
      <w:pPr/>
      <w:r>
        <w:rPr/>
        <w:t xml:space="preserve">Posiada podstawową wiedzę o cyklu życia obiektów technicznych i rozumie powagę aspektów ekologicznych diagnostyki technicznej.</w:t>
      </w:r>
    </w:p>
    <w:p>
      <w:pPr>
        <w:spacing w:before="60"/>
      </w:pPr>
      <w:r>
        <w:rPr/>
        <w:t xml:space="preserve">Weryfikacja: </w:t>
      </w:r>
    </w:p>
    <w:p>
      <w:pPr>
        <w:spacing w:before="20" w:after="190"/>
      </w:pPr>
      <w:r>
        <w:rPr/>
        <w:t xml:space="preserve">Dyskusja na wykładzie, egzamin</w:t>
      </w:r>
    </w:p>
    <w:p>
      <w:pPr>
        <w:spacing w:before="20" w:after="190"/>
      </w:pPr>
      <w:r>
        <w:rPr>
          <w:b/>
          <w:bCs/>
        </w:rPr>
        <w:t xml:space="preserve">Powiązane efekty kierunkowe: </w:t>
      </w:r>
      <w:r>
        <w:rPr/>
        <w:t xml:space="preserve">KMchtr_W15</w:t>
      </w:r>
    </w:p>
    <w:p>
      <w:pPr>
        <w:spacing w:before="20" w:after="190"/>
      </w:pPr>
      <w:r>
        <w:rPr>
          <w:b/>
          <w:bCs/>
        </w:rPr>
        <w:t xml:space="preserve">Powiązane efekty obszarowe: </w:t>
      </w:r>
      <w:r>
        <w:rPr/>
        <w:t xml:space="preserve">T1A_W03, T1A_W04, T1A_W07, InzA_W02</w:t>
      </w:r>
    </w:p>
    <w:p>
      <w:pPr>
        <w:pStyle w:val="Heading3"/>
      </w:pPr>
      <w:bookmarkStart w:id="3" w:name="_Toc3"/>
      <w:r>
        <w:t>Profil ogólnoakademicki - umiejętności</w:t>
      </w:r>
      <w:bookmarkEnd w:id="3"/>
    </w:p>
    <w:p>
      <w:pPr>
        <w:keepNext w:val="1"/>
        <w:spacing w:after="10"/>
      </w:pPr>
      <w:r>
        <w:rPr>
          <w:b/>
          <w:bCs/>
        </w:rPr>
        <w:t xml:space="preserve">Efekt 1150-MT000-ISP-0315_U1: </w:t>
      </w:r>
    </w:p>
    <w:p>
      <w:pPr/>
      <w:r>
        <w:rPr/>
        <w:t xml:space="preserve">Potrafi zaplanować i wykonać zadania związane z badaniami diagnostycznymi używając właściwych metod i środków.</w:t>
      </w:r>
    </w:p>
    <w:p>
      <w:pPr>
        <w:spacing w:before="60"/>
      </w:pPr>
      <w:r>
        <w:rPr/>
        <w:t xml:space="preserve">Weryfikacja: </w:t>
      </w:r>
    </w:p>
    <w:p>
      <w:pPr>
        <w:spacing w:before="20" w:after="190"/>
      </w:pPr>
      <w:r>
        <w:rPr/>
        <w:t xml:space="preserve">Krótki sprawdzian ustny/pisemny weryfikujący przygotowanie studenta do ćwiczeń  w laboratorium, ocena sprawozdania</w:t>
      </w:r>
    </w:p>
    <w:p>
      <w:pPr>
        <w:spacing w:before="20" w:after="190"/>
      </w:pPr>
      <w:r>
        <w:rPr>
          <w:b/>
          <w:bCs/>
        </w:rPr>
        <w:t xml:space="preserve">Powiązane efekty kierunkowe: </w:t>
      </w:r>
      <w:r>
        <w:rPr/>
        <w:t xml:space="preserve">KMchtr_U12, KMchtr_U13, KMchtr_U20</w:t>
      </w:r>
    </w:p>
    <w:p>
      <w:pPr>
        <w:spacing w:before="20" w:after="190"/>
      </w:pPr>
      <w:r>
        <w:rPr>
          <w:b/>
          <w:bCs/>
        </w:rPr>
        <w:t xml:space="preserve">Powiązane efekty obszarowe: </w:t>
      </w:r>
      <w:r>
        <w:rPr/>
        <w:t xml:space="preserve">T1A_U07, T1A_U08, InzA_U01, T1A_U08, T1A_U13, InzA_U01, T1A_U16, InzA_U08</w:t>
      </w:r>
    </w:p>
    <w:p>
      <w:pPr>
        <w:keepNext w:val="1"/>
        <w:spacing w:after="10"/>
      </w:pPr>
      <w:r>
        <w:rPr>
          <w:b/>
          <w:bCs/>
        </w:rPr>
        <w:t xml:space="preserve">Efekt 1150-MT000-ISP-0315_U2: </w:t>
      </w:r>
    </w:p>
    <w:p>
      <w:pPr/>
      <w:r>
        <w:rPr/>
        <w:t xml:space="preserve">Potrafi odpowiednio ustalić priorytety służące realizacji określonego przez innych zadania.</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KMchtr_U02</w:t>
      </w:r>
    </w:p>
    <w:p>
      <w:pPr>
        <w:spacing w:before="20" w:after="190"/>
      </w:pPr>
      <w:r>
        <w:rPr>
          <w:b/>
          <w:bCs/>
        </w:rPr>
        <w:t xml:space="preserve">Powiązane efekty obszarowe: </w:t>
      </w:r>
      <w:r>
        <w:rPr/>
        <w:t xml:space="preserve">T1A_U02</w:t>
      </w:r>
    </w:p>
    <w:p>
      <w:pPr>
        <w:pStyle w:val="Heading3"/>
      </w:pPr>
      <w:bookmarkStart w:id="4" w:name="_Toc4"/>
      <w:r>
        <w:t>Profil ogólnoakademicki - kompetencje społeczne</w:t>
      </w:r>
      <w:bookmarkEnd w:id="4"/>
    </w:p>
    <w:p>
      <w:pPr>
        <w:keepNext w:val="1"/>
        <w:spacing w:after="10"/>
      </w:pPr>
      <w:r>
        <w:rPr>
          <w:b/>
          <w:bCs/>
        </w:rPr>
        <w:t xml:space="preserve">Efekt 1150-MT000-ISP-0315_K1: </w:t>
      </w:r>
    </w:p>
    <w:p>
      <w:pPr/>
      <w:r>
        <w:rPr/>
        <w:t xml:space="preserve">Potrafi pracować samodzielnie i w zespole</w:t>
      </w:r>
    </w:p>
    <w:p>
      <w:pPr>
        <w:spacing w:before="60"/>
      </w:pPr>
      <w:r>
        <w:rPr/>
        <w:t xml:space="preserve">Weryfikacja: </w:t>
      </w:r>
    </w:p>
    <w:p>
      <w:pPr>
        <w:spacing w:before="20" w:after="190"/>
      </w:pPr>
      <w:r>
        <w:rPr/>
        <w:t xml:space="preserve">Ocena wykonywania zadań w trakcie realizacji ćwiczeń laboratoryjnych i ocena sprawozdania.</w:t>
      </w:r>
    </w:p>
    <w:p>
      <w:pPr>
        <w:spacing w:before="20" w:after="190"/>
      </w:pPr>
      <w:r>
        <w:rPr>
          <w:b/>
          <w:bCs/>
        </w:rPr>
        <w:t xml:space="preserve">Powiązane efekty kierunkowe: </w:t>
      </w:r>
      <w:r>
        <w:rPr/>
        <w:t xml:space="preserve">KMchtr_K04</w:t>
      </w:r>
    </w:p>
    <w:p>
      <w:pPr>
        <w:spacing w:before="20" w:after="190"/>
      </w:pPr>
      <w:r>
        <w:rPr>
          <w:b/>
          <w:bCs/>
        </w:rPr>
        <w:t xml:space="preserve">Powiązane efekty obszarowe: </w:t>
      </w:r>
      <w:r>
        <w:rPr/>
        <w:t xml:space="preserve">T1A_K03, T1A_K04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2025-05-09T13:53:09+02:00</dcterms:created>
  <dcterms:modified xsi:type="dcterms:W3CDTF">2025-05-09T13:53:09+02:00</dcterms:modified>
</cp:coreProperties>
</file>

<file path=docProps/custom.xml><?xml version="1.0" encoding="utf-8"?>
<Properties xmlns="http://schemas.openxmlformats.org/officeDocument/2006/custom-properties" xmlns:vt="http://schemas.openxmlformats.org/officeDocument/2006/docPropsVTypes"/>
</file>