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- 5 godz.;
2) Praca własna studenta – 60 godz., w tym:
a) 30 godz. – bieżące przygotowywanie się studenta do ćwiczeń,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 - 30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a) uczestnictwo w ćwiczeniach audytoryjnych – 30 godz.;
b) samodzielne rozwiązywanie zadań w domu -15 godz.;
c) przygotowanie się do kolokwiów – 10 godz.;
d) przygotowanie się do części zadaniowej egzaminu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obserwowanych zjawisk związanych z ruchem lub równowagą ciał materialnych i ich układów,
•	 rozumienie związków przyczynowo - 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   (2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2.	Geometria mas   (6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3.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4.	Kinematyka punktu   (4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5.	Dynamika punktu materialnego   (6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6.	Dynamika układu punktów materialnych   (4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 audytoryjne: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 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
Ćwiczenia: 
•	sprawdziany pisemne na ćwiczeniach,
•	ocena zadanych prac domowych,
•	ocena aktywności na ćwiczeniach.
Zasady zaliczania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2017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1150-00000-ISP-0188_W1: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1150-00000-ISP-0188_W3: </w:t>
      </w:r>
    </w:p>
    <w:p>
      <w:pPr/>
      <w:r>
        <w:rPr/>
        <w:t xml:space="preserve">Student potrafi wyjaśnić zjawiska o znaczeniu praktycznym występujące w mechanice ciał i mechanizmów, związane z równowagą lub ruchem tych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1150-00000-ISP-0188_W4: </w:t>
      </w:r>
    </w:p>
    <w:p>
      <w:pPr/>
      <w:r>
        <w:rPr/>
        <w:t xml:space="preserve">Student rozumie związki przyczynowo-skutkowe w mechanice, wyrażone przez prawa mechaniki (warunki równowagi,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1150-00000-ISP-0188_U1: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1150-00000-ISP-0188_U3: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1150-00000-ISP-0188_U4: </w:t>
      </w:r>
    </w:p>
    <w:p>
      <w:pPr/>
      <w:r>
        <w:rPr/>
        <w:t xml:space="preserve">Student potrafi redukować dowolny przestrzenny układ sił do skrętnika.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1150-00000-ISP-0188_U5: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1150-00000-ISP-0188_U6: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1150-00000-ISP-0188_U7: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1150-00000-ISP-0188_U8: </w:t>
      </w:r>
    </w:p>
    <w:p>
      <w:pPr/>
      <w:r>
        <w:rPr/>
        <w:t xml:space="preserve">Student potrafi rozwiązywać zadania rzutów punktu materialnego w jednorodnym polu grawitacyjnym z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1150-00000-ISP-0188_U9: </w:t>
      </w:r>
    </w:p>
    <w:p>
      <w:pPr/>
      <w:r>
        <w:rPr/>
        <w:t xml:space="preserve">Student umie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1150-00000-ISP-0188_U10: </w:t>
      </w:r>
    </w:p>
    <w:p>
      <w:pPr/>
      <w:r>
        <w:rPr/>
        <w:t xml:space="preserve">Student potrafi zdobywać informacje dotyczące treści przedmiotu z literatury i baz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T1A_U16, InzA_U04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2026-04-11T15:53:49+02:00</dcterms:created>
  <dcterms:modified xsi:type="dcterms:W3CDTF">2026-04-11T15:53:49+02:00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