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konstruowania struktur i powierzchni widzialnych pojazdów. Umiejętność doboru technologii produkcji do rodzaju projektowanych nadwozia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nadwozi. Przepisy międzynarodowe i normy dotyczące nadwozi pojazdów samochodowych. Algorytm rozwoju konstrukcji. Aspekty ekonomiczne budowy nadwozi pojazdów samochodowych. Ergonomia i stawiane wymagania względem przeznaczenia pojazdu. Package - rozplanowanie i założenia wymiarowe nadwozia. Zjawiska aerodynamiczne w opływie nadwozia pojazdu. Zapewnienie komfortu i bezpieczeństwa kierowcy i pasażerom pojazdu. Wprowadzenie do stylistyki nadwozi. Przedstawienie poszczególnych modułów nadwozia i omówienie spełnianych funkcji. Materiały i technologie stosowane w budowie nadwozi ultralekkich. Budowa struktury nadwozi pojazdów. Funkcje elementów wyposażenia wewnętrznego.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konstrukcji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konstrukcji współczesnych ultralekkich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11500-00000-ISP-0407_U1: </w:t>
      </w:r>
    </w:p>
    <w:p>
      <w:pPr/>
      <w:r>
        <w:rPr/>
        <w:t xml:space="preserve">Potrafi ocenić konstrukcję nadwozi wg przedstawionych klasyfikacji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11500-00000-ISP-0407_U2: </w:t>
      </w:r>
    </w:p>
    <w:p>
      <w:pPr/>
      <w:r>
        <w:rPr/>
        <w:t xml:space="preserve">Potrafi zaplanować budowę nadwozia pojazdu z wyznaczeniem głównych założeń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11500-00000-ISP-0407_U3: </w:t>
      </w:r>
    </w:p>
    <w:p>
      <w:pPr/>
      <w:r>
        <w:rPr/>
        <w:t xml:space="preserve">Potrafi  ocenić wpływ założeń konstrukcyjnych struktury na klasę i rodzaj nadwozia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11500-00000-ISP-0407_K1: </w:t>
      </w:r>
    </w:p>
    <w:p>
      <w:pPr/>
      <w:r>
        <w:rPr/>
        <w:t xml:space="preserve">Ma świadomość przyjętych wstępnych założeń konstrukcyjnych nadwozia na klasę i rodzaj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11500-00000-ISP-0407_K2: </w:t>
      </w:r>
    </w:p>
    <w:p>
      <w:pPr/>
      <w:r>
        <w:rPr/>
        <w:t xml:space="preserve">Ma świadomość wagi odniesienia badań na modelach nadwozia do obiektów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2024-05-02T13:52:57+02:00</dcterms:created>
  <dcterms:modified xsi:type="dcterms:W3CDTF">2024-05-02T13:52:57+02:00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