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pojazdów elektrycznych i hybrydowych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-15 godz.;
c) laboratorium- 15 godz.;
e) konsultacje - 2 godz.;
2. Praca własna studenta – 45 godzin, w tym:
a)	30 godz. – bieżące przygotowywanie się do laboratoriów i wykładów (analiza literatury),
b)	5 godz. – realizacja zadań domowych,
c)	10 godz. - przygotowywanie się do kolokwium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- 32 godziny w tym:
a) wykład -15godz.;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ćwiczenia  laboratoryjne  – 15 godz.
b) 10 godz. – przygotowywanie się do ćwiczeń laboratoryjnych
c) 5 godz. – opracowanie wyników, przygotowanie sprawozdań
d) 5 godz. - realizacja zadań domowych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środowiska obliczeniowego MATLAB, podstawy mechaniki, podstawy teoretyczne maszyn elektrycznych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studenta z różnymi aspektami diagnostyki pojazdów elektrycznych i hybrydowych</w:t>
      </w:r>
    </w:p>
    <w:p>
      <w:pPr>
        <w:keepNext w:val="1"/>
        <w:spacing w:after="10"/>
      </w:pPr>
      <w:r>
        <w:rPr>
          <w:b/>
          <w:bCs/>
        </w:rPr>
        <w:t xml:space="preserve">Treści kształcenia: </w:t>
      </w:r>
    </w:p>
    <w:p>
      <w:pPr>
        <w:spacing w:before="20" w:after="190"/>
      </w:pPr>
      <w:r>
        <w:rPr/>
        <w:t xml:space="preserve">Wykład:
Podstawy fizyczne oraz metody diagnostyki silników elektrycznych typu BLDC i SRM. Zjawiska fizyczne występujące w silnikach elektrycznych, modelowanie uszkodzeń w silnikach elektrycznych.
Parametry baterii elektrochemiczej( poziomu naładowania SOC, stanu jakości SOH, rezystancji wewnętrznej Rw, pojemności Q) Metody identyfikacji uszkodzeń baterii na poziomie pojedynczej celi i całego pakietu baterii 
Laboratorium:
Podstawy analizy sygnałów, Diagnostyka silnika BLDC i SRM na podstawie zarejestrowanych danych, ewentualnie rejestracja danych na stanowisku badawczym.
Wyznaczanie parametrów baterii elektrochemicznej z wykorzystaniem algorytmu "Impedance Tracking" Texas Instrument (poziomu naładowania SOC, stanu jakości SOH, rezystancji wewnętrznej Rw, pojemności Q) Identyfikacja stanu baterii na przykładzie pakietu Toyota Prius </w:t>
      </w:r>
    </w:p>
    <w:p>
      <w:pPr>
        <w:keepNext w:val="1"/>
        <w:spacing w:after="10"/>
      </w:pPr>
      <w:r>
        <w:rPr>
          <w:b/>
          <w:bCs/>
        </w:rPr>
        <w:t xml:space="preserve">Metody oceny: </w:t>
      </w:r>
    </w:p>
    <w:p>
      <w:pPr>
        <w:spacing w:before="20" w:after="190"/>
      </w:pPr>
      <w:r>
        <w:rPr/>
        <w:t xml:space="preserve">Wykład: Oceny przyswojonej na wykładzie wiedzy poprzez kolokwium napisane na ostatnim spotkaniu wykładowym. 
Laboratorium: Ocena jakości oprogramowania napisanego podczas zajęć, ocena pracy studenta podczas wykonywania ćwiczenia ewentualnie, jeśli dotyczy to dane ćwiczenia także ocena przygotowania studenta do wykonywania ćwiczenia zweryfikowana poprzez krótką wejściówkę.  Ocena końcowa z laboratorium jest średnią oceną ze wszystkich ćwiczeń. 
Ocena łączna: średnia ocena z wykładu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Ocioszyński J.: „Elektronika i Elektronika Pojazdów Samochodowych” WSiP, wydanie uaktualnione 2008, Warszawa,
2.	Instrukcje wykonywania ćwiczeń zamieszczone na stronie internetowej.
</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1150-00000-ISP-0408_W1: </w:t>
      </w:r>
    </w:p>
    <w:p>
      <w:pPr/>
      <w:r>
        <w:rPr/>
        <w:t xml:space="preserve">Student posiada wiedzę z zakresu budowy silników elektrycznych BLDC i SRM, zna podstawowe uszkodzenia występujące w tym silniku oraz wie, w jaki sposób dane uszkodzenie może wpływać na sygnał diagnostyczny</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K_W15, K_W17, K_W18, K_W19, K_W20</w:t>
      </w:r>
    </w:p>
    <w:p>
      <w:pPr>
        <w:spacing w:before="20" w:after="190"/>
      </w:pPr>
      <w:r>
        <w:rPr>
          <w:b/>
          <w:bCs/>
        </w:rPr>
        <w:t xml:space="preserve">Powiązane efekty obszarowe: </w:t>
      </w:r>
      <w:r>
        <w:rPr/>
        <w:t xml:space="preserve">T1A_W01, T1A_W07, InzA_W02, T1A_W03, T1A_W04, T1A_W07, T1A_W03, T1A_W04, T1A_W07, T1A_W03, T1A_W04, T1A_W07, T1A_W05, T1A_W06</w:t>
      </w:r>
    </w:p>
    <w:p>
      <w:pPr>
        <w:keepNext w:val="1"/>
        <w:spacing w:after="10"/>
      </w:pPr>
      <w:r>
        <w:rPr>
          <w:b/>
          <w:bCs/>
        </w:rPr>
        <w:t xml:space="preserve">Efekt 1150-00000-ISP-0408_W2: </w:t>
      </w:r>
    </w:p>
    <w:p>
      <w:pPr/>
      <w:r>
        <w:rPr/>
        <w:t xml:space="preserve">Student posiada wiedzę nt. diagnostyki baterii elektrochemicznej i metod wyznaczania jej parametrów, a także wie jak zinterpretować wartości tych parametrów.</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K_W19, K_W20</w:t>
      </w:r>
    </w:p>
    <w:p>
      <w:pPr>
        <w:spacing w:before="20" w:after="190"/>
      </w:pPr>
      <w:r>
        <w:rPr>
          <w:b/>
          <w:bCs/>
        </w:rPr>
        <w:t xml:space="preserve">Powiązane efekty obszarowe: </w:t>
      </w:r>
      <w:r>
        <w:rPr/>
        <w:t xml:space="preserve">T1A_W01,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1150-00000-ISP-0408_U1: </w:t>
      </w:r>
    </w:p>
    <w:p>
      <w:pPr/>
      <w:r>
        <w:rPr/>
        <w:t xml:space="preserve">Student potrafi dokonać analizy wybranego sygnału diagnostycznego pod kątem estymacji charakterystycznych cech sygnału w celu zdiagnozowania lub wykrycia uszkodzenia silnika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K_U02, K_U08, K_U10, K_U15, K_U16, K_U17, K_U18</w:t>
      </w:r>
    </w:p>
    <w:p>
      <w:pPr>
        <w:spacing w:before="20" w:after="190"/>
      </w:pPr>
      <w:r>
        <w:rPr>
          <w:b/>
          <w:bCs/>
        </w:rPr>
        <w:t xml:space="preserve">Powiązane efekty obszarowe: </w:t>
      </w:r>
      <w:r>
        <w:rPr/>
        <w:t xml:space="preserve">T1A_U02, T1A_U08, T1A_U09, T1A_U07, T1A_U08, T1A_U09, T1A_U12, T1A_U16, InzA_U08, T1A_U12, T1A_U16, T1A_U01, T1A_U16, T1A_U16</w:t>
      </w:r>
    </w:p>
    <w:p>
      <w:pPr>
        <w:keepNext w:val="1"/>
        <w:spacing w:after="10"/>
      </w:pPr>
      <w:r>
        <w:rPr>
          <w:b/>
          <w:bCs/>
        </w:rPr>
        <w:t xml:space="preserve">Efekt 1150-00000-ISP-0408_U2: </w:t>
      </w:r>
    </w:p>
    <w:p>
      <w:pPr/>
      <w:r>
        <w:rPr/>
        <w:t xml:space="preserve">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K_U01, K_U02, K_U06, K_U07, K_U11, K_U12</w:t>
      </w:r>
    </w:p>
    <w:p>
      <w:pPr>
        <w:spacing w:before="20" w:after="190"/>
      </w:pPr>
      <w:r>
        <w:rPr>
          <w:b/>
          <w:bCs/>
        </w:rPr>
        <w:t xml:space="preserve">Powiązane efekty obszarowe: </w:t>
      </w:r>
      <w:r>
        <w:rPr/>
        <w:t xml:space="preserve">T1A_U01, T1A_U02, T1A_U05, T1A_U08, T1A_U09, InzA_U01, InzA_U02, T1A_U08, T1A_U09, T1A_U07, 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2024-04-27T10:06:49+02:00</dcterms:created>
  <dcterms:modified xsi:type="dcterms:W3CDTF">2024-04-27T10:06:49+02:00</dcterms:modified>
</cp:coreProperties>
</file>

<file path=docProps/custom.xml><?xml version="1.0" encoding="utf-8"?>
<Properties xmlns="http://schemas.openxmlformats.org/officeDocument/2006/custom-properties" xmlns:vt="http://schemas.openxmlformats.org/officeDocument/2006/docPropsVTypes"/>
</file>