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systemów mechatronicznych</w:t>
      </w:r>
    </w:p>
    <w:p>
      <w:pPr>
        <w:keepNext w:val="1"/>
        <w:spacing w:after="10"/>
      </w:pPr>
      <w:r>
        <w:rPr>
          <w:b/>
          <w:bCs/>
        </w:rPr>
        <w:t xml:space="preserve">Koordynator przedmiotu: </w:t>
      </w:r>
    </w:p>
    <w:p>
      <w:pPr>
        <w:spacing w:before="20" w:after="190"/>
      </w:pPr>
      <w:r>
        <w:rPr/>
        <w:t xml:space="preserve">Prof. dr hab. inż. Stanisław Radkowski, dr inż. Krzysztof Szczurowski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1150-PE000-PEP-0334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15 godz.;
b) laboratorium-15 godz.;
c) konsultacje -2 godz.;
d) egzamin -2 godz.;
2) Praca własna studenta – 42 godzin, w tym:
a) studia literaturowe: 10 godz.;
b) przygotowanie do zajęć: 10 godz.;
c) przygotowania do egzaminu: 12 godz.;
d) sprawozdania: 10 godz.
3) RAZEM – 76godzin.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- 34, w tym:
a) wykład -15 godz.;
b) laboratorium- 15 godz.;
c) konsultacje -2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sprawozdania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Celem przedmiotu jest zapoznanie słuchaczy z metodologią projektowania mechatronicznego, metodami przetwarzania sygnałów wykorzystywanych w układach sterowania.</w:t>
      </w:r>
    </w:p>
    <w:p>
      <w:pPr>
        <w:keepNext w:val="1"/>
        <w:spacing w:after="10"/>
      </w:pPr>
      <w:r>
        <w:rPr>
          <w:b/>
          <w:bCs/>
        </w:rPr>
        <w:t xml:space="preserve">Treści kształcenia: </w:t>
      </w:r>
    </w:p>
    <w:p>
      <w:pPr>
        <w:spacing w:before="20" w:after="190"/>
      </w:pPr>
      <w:r>
        <w:rPr/>
        <w:t xml:space="preserve">Wykład
1. Przedstawienie treści przedmiotu omówienie zalecanej literatury i zasady zaliczenia przedmiotu. 
2. Metodologia projektowania mechatronicznego ( projekt koncepcyjny, generowanie pierwszej populacji rozwiązań, wybór najlepszego rozwiązania, identyfikacja systemu, modyfikacja układu kontroli).
3. Projektowanie systemów mechatronicznych (inteligentne urządzenia mechatroniczne, hierarchiczna architektura systemu, wymogi technologiczne, ogólne procedury projektowe).
4. Przetwarzanie informacji w układzie sterowania (sensory w systemie mechatronicznym, enkodery inkrementalne i absolutne, sensoryczne układy wbudowane, struktura i przepływ informacji w systemie mechatronicznym).
5. Napęd mechatroniczny (koncepcja ogólna, budowa układu regulacji, elektroniczna synchronizacja ruchów ). 
6. Zasady kompensacji nieliniowości w układach mechatronicznych - wykorzystanie sterowania, funkcjonalny opis uszkodzeń mechatronicznych.
7. Wyznaczanie obszarów projektowych na płaszczyźnie urojonej (badanie stabilności układu).
8. Projektowanie kompensatorów w dziedzinie częstotliwości (stałe błędów, badanie wrażliwości układu sterowania).
9. Projektowanie w programie Matlab (Control System Toolbox, Matlab Simulink).
Laboratorium
1. Programowanie i modelowanie analogii dynamicznych z wykorzystaniem programu komputerowego AMEsim.
2. Programowanie i symulowanie pętli sprzężenia zwrotnego z wykorzystaniem programu komputerowego Matlab.
3. Badanie stabilności układów dynamicznych stosując metody linii pierwiastkowych. 
4. Badanie układów sterowania obrotami silnika i przełożeniami przekładni zębatych z wykorzystaniem programu komputerowego Matlab i Simulink.
</w:t>
      </w:r>
    </w:p>
    <w:p>
      <w:pPr>
        <w:keepNext w:val="1"/>
        <w:spacing w:after="10"/>
      </w:pPr>
      <w:r>
        <w:rPr>
          <w:b/>
          <w:bCs/>
        </w:rPr>
        <w:t xml:space="preserve">Metody oceny: </w:t>
      </w:r>
    </w:p>
    <w:p>
      <w:pPr>
        <w:spacing w:before="20" w:after="190"/>
      </w:pPr>
      <w:r>
        <w:rPr/>
        <w:t xml:space="preserve">Wykład:
Zaliczenie części wykładowej odbywa się podczas egzaminu. Warunkiem koniecznym zaliczenia wykładu jest zaliczenie egzaminu na ocenę co najmniej 3.
Laboratorium:
Każde ćwiczenie laboratoryjne ocenione zostaje bezpośrednio po jego zakończeniu. Podstawą oceny jest poprawne wykonanie ćwiczenia (sprawozdanie) oraz zaliczenie, po wykonaniu ćwiczenia, części teoretycznej.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Ocena łączna:
Ocena łączna z przedmiotu jest średnią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pomocnicze umieszczone na stronie przedmiotu.</w:t>
      </w:r>
    </w:p>
    <w:p>
      <w:pPr>
        <w:keepNext w:val="1"/>
        <w:spacing w:after="10"/>
      </w:pPr>
      <w:r>
        <w:rPr>
          <w:b/>
          <w:bCs/>
        </w:rPr>
        <w:t xml:space="preserve">Witryna www przedmiotu: </w:t>
      </w:r>
    </w:p>
    <w:p>
      <w:pPr>
        <w:spacing w:before="20" w:after="190"/>
      </w:pPr>
      <w:r>
        <w:rPr/>
        <w:t xml:space="preserve">http://www.mechatronika-simr.home.pl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1150-PE000-PEP-0334_W1: </w:t>
      </w:r>
    </w:p>
    <w:p>
      <w:pPr/>
      <w:r>
        <w:rPr/>
        <w:t xml:space="preserve">Posiada wiedzę o procesie doboru parametrów sterowania procesami fizycznymi pojazdów elektrycznych. </w:t>
      </w:r>
    </w:p>
    <w:p>
      <w:pPr>
        <w:spacing w:before="60"/>
      </w:pPr>
      <w:r>
        <w:rPr/>
        <w:t xml:space="preserve">Weryfikacja: </w:t>
      </w:r>
    </w:p>
    <w:p>
      <w:pPr>
        <w:spacing w:before="20" w:after="190"/>
      </w:pPr>
      <w:r>
        <w:rPr/>
        <w:t xml:space="preserve">Dyskusja na wykładzie, egzamin </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1150-PE000-PEP-0334_W2: </w:t>
      </w:r>
    </w:p>
    <w:p>
      <w:pPr/>
      <w:r>
        <w:rPr/>
        <w:t xml:space="preserve">Posiada wiedzę o trendach rozwoju współczesnych układów sterowania wykorzystywanych w pojazdach, ze szczególnym uwzględnieniem pojazdów eklektycznych i hybrydowych</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1150-PE000-PEP-0334_U1: </w:t>
      </w:r>
    </w:p>
    <w:p>
      <w:pPr/>
      <w:r>
        <w:rPr/>
        <w:t xml:space="preserve">Potrafi opisać model fizyczny równaniami ruchu i na ich podstawie zbudować układ sterowania.</w:t>
      </w:r>
    </w:p>
    <w:p>
      <w:pPr>
        <w:spacing w:before="60"/>
      </w:pPr>
      <w:r>
        <w:rPr/>
        <w:t xml:space="preserve">Weryfikacja: </w:t>
      </w:r>
    </w:p>
    <w:p>
      <w:pPr>
        <w:spacing w:before="20" w:after="190"/>
      </w:pPr>
      <w:r>
        <w:rPr/>
        <w:t xml:space="preserve">Dyskusja w laboratorium, ocena  sprawozdania </w:t>
      </w:r>
    </w:p>
    <w:p>
      <w:pPr>
        <w:spacing w:before="20" w:after="190"/>
      </w:pPr>
      <w:r>
        <w:rPr>
          <w:b/>
          <w:bCs/>
        </w:rPr>
        <w:t xml:space="preserve">Powiązane efekty kierunkowe: </w:t>
      </w:r>
      <w:r>
        <w:rPr/>
        <w:t xml:space="preserve">K_U07, K_U16</w:t>
      </w:r>
    </w:p>
    <w:p>
      <w:pPr>
        <w:spacing w:before="20" w:after="190"/>
      </w:pPr>
      <w:r>
        <w:rPr>
          <w:b/>
          <w:bCs/>
        </w:rPr>
        <w:t xml:space="preserve">Powiązane efekty obszarowe: </w:t>
      </w:r>
      <w:r>
        <w:rPr/>
        <w:t xml:space="preserve">T1A_U08, T1A_U09, InzA_U01, InzA_U02, T1A_U12, T1A_U16</w:t>
      </w:r>
    </w:p>
    <w:p>
      <w:pPr>
        <w:pStyle w:val="Heading3"/>
      </w:pPr>
      <w:bookmarkStart w:id="4" w:name="_Toc4"/>
      <w:r>
        <w:t>Profil ogólnoakademicki - kompetencje społeczne</w:t>
      </w:r>
      <w:bookmarkEnd w:id="4"/>
    </w:p>
    <w:p>
      <w:pPr>
        <w:keepNext w:val="1"/>
        <w:spacing w:after="10"/>
      </w:pPr>
      <w:r>
        <w:rPr>
          <w:b/>
          <w:bCs/>
        </w:rPr>
        <w:t xml:space="preserve">Efekt 1150-PE000-PEP-0334_K1: </w:t>
      </w:r>
    </w:p>
    <w:p>
      <w:pPr/>
      <w:r>
        <w:rPr/>
        <w:t xml:space="preserve">Umie pracować indywidualnie i w zespole.</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InzA_K01,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2024-05-03T06:56:34+02:00</dcterms:created>
  <dcterms:modified xsi:type="dcterms:W3CDTF">2024-05-03T06:56:34+02:00</dcterms:modified>
</cp:coreProperties>
</file>

<file path=docProps/custom.xml><?xml version="1.0" encoding="utf-8"?>
<Properties xmlns="http://schemas.openxmlformats.org/officeDocument/2006/custom-properties" xmlns:vt="http://schemas.openxmlformats.org/officeDocument/2006/docPropsVTypes"/>
</file>