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1150-000000-ISP-0406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- 31 godz., w tym/i
•	wykład - 30 godz.,
•	konsultacje – 1 godz.
2) Praca własna studenta – 20 godz., w tym:
•	bieżące przygotowywanie się do wykładów: 5 godz.,
•	studia literaturowe: 5 godz.,
•	przygotowanie pracy zaliczeniowej: 10 godz.
3) RAZEM –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30 godz., w tym:
•	bieżące przygotowywanie się do wykładów: 5 godz.,
•	studia literaturowe: 10 godz.,
•	przygotowanie pracy zaliczeniowej: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materiałów konstrukcyjnych ujętej przedmiotem Materiały Konstrukcyjne. Znajomość wiedzy z zakresu projektowania ujętej przedmiotem Podstawy Konstrukcji Maszyn, technologii wytwarzania ujętej przedmiotem Technologia. Znajomość wiedzy z zakresu podstaw metrologii i pomiarów ujętej przedmiotem Metrologia i zamienność oraz wiedzy z zakresu pojazdów samochodowych ujętej przedmiotem Pojazdy, Budowa pojazdów autonomicznych, Inżynieria pojazdów elektrycznych i hybrydowych.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systemu recyklingu samochodów wycofanych z eksploatacji, metod: przetwarzania różnego rodzaju surowców: stali i stopów żelaza, metali, gumy, szkła, tworzyw sztucznych i kompozytów jak również sposobów demontażu pojazdów wycofywanych z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problemy budowy samochodów elektrycznych i hybrydowych zwiększające potrzeby w zakresie recyklingu, w szczególności napędy elektryczne i akumulatory. Zagadnienia funkcjonowania systemu recyklingu samochodów w Polsce, uwarunkowania techniczne, prawne i ekonomiczne. 3. Systemy recyklingu samochodów w Europie, Stanach Zjednoczonych i Japonii. Recykling źródeł energii: akumulatorów metalowo-wodorkowych i litowo-jonowych), Przetwarzanie materiałów stosowanych w budowie samochodów na przykładach. Demontaż zużytego pojazdu i selekcja materiałów, możliwości recyklingu różnego rodzaju materiałów stosowanych do budowy samochodu, w szczególności tworzyw sztucznych i kompozytów.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efektów kształcenia odbywa się poprzez na podstawie cyklicznych (co tygodniowych) dyskusji podczas których omawiane są posępny w realizacji projektu.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Osiński, P. Żach, Wybrane zagadnienia recyklingu samochodów,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K_W17, K_W19, K_W20: </w:t>
      </w:r>
    </w:p>
    <w:p>
      <w:pPr/>
      <w:r>
        <w:rPr/>
        <w:t xml:space="preserve">Zna zasady zorientowanego recyklingowo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K_U04, K_U08, K_U15, K_U18: </w:t>
      </w:r>
    </w:p>
    <w:p>
      <w:pPr/>
      <w:r>
        <w:rPr/>
        <w:t xml:space="preserve">Potrafi wykonać ocenę różnego typu maszyn roboczych i urządzeń pod względem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K_U15, K_U17, K_U18: </w:t>
      </w:r>
    </w:p>
    <w:p>
      <w:pPr/>
      <w:r>
        <w:rPr/>
        <w:t xml:space="preserve">Student potrafi opracować proces technologiczny demontażu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K_U03, K_U15, K_U16, K_U17, K_U18: </w:t>
      </w:r>
    </w:p>
    <w:p>
      <w:pPr/>
      <w:r>
        <w:rPr/>
        <w:t xml:space="preserve">Student potrafi scharakteryzować materiały konstrukcyjne stosowane w maszynach roboczych pod kątem metod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K_K04: </w:t>
      </w:r>
    </w:p>
    <w:p>
      <w:pPr/>
      <w:r>
        <w:rPr/>
        <w:t xml:space="preserve">Student jest świadomy konieczności pogłębiania wiedzy w zakresie zaawansowanych technik przetwarzania surowców. Ma świadomość skali zagrożenia środowiska naturalnego odpadami pochodzącymi z poużytkowych maszyn roboczych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1150-000000-ISP-0406_W1: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1150-000000-ISP-0406_W2: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1150-000000-ISP-0406_U1: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1150-000000-ISP-0406_K1: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2026-02-27T15:29:49+01:00</dcterms:created>
  <dcterms:modified xsi:type="dcterms:W3CDTF">2026-02-27T15:29:49+01:00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