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Modelowanie geometryczne konstrukcji cienkościennych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Piotr Skawiński,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1150-MB000-ISP-0413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- 32,w tym:
a) wykład – 30 godz.;
b) konsultacje - 1 godz.;
c) sprawdzian - 1 godz.;
2) Praca własna studenta - 42 godzin, w tym:
a)	 10 godz. – studia literaturowe;
b)	 20 godz. – przygotowywanie się studenta do sprawdzianu;
c)	 12 godz. – przygotowywanie się studenta do wykładu
3) RAZEM – 74 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 – liczba godzin kontaktowych - 32, w tym:
a)wykład - 30 godz.;
b) konsultacje - 1 godz.;
c) sprawdzian - 1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1,8 punktu ECTS – 42 godz. w tym:
a)	 10 godz. – studia literaturowe;
b)	 20 godz. – przygotowywanie się studenta do sprawdzianu;
c)	 12 godz. –przygotowywanie się studenta do wykładu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o obróbce skrawaniem i bezwiórowej (obróbka plastyczna, spawalnictwo), znajomość systemów CAD.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jest poznanie zasad i sposobów modelowania geometrii przestrzennej konstrukcji cienkościennych w aspekcie możliwych do zastosowania procesów technologicznych wykonania konstrukcji.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Przegląd metod modelowania powierzchniowego w parametrycznych systemach 3D CAD (SolidWorks). Metody modelowania geometrii przestrzennej; podstawy zapisu geometrycznego krzywych i powierzchni (NURBS, B-Spline, Baziera); Metody łączenia płatów powierzchni: G0-G4; analizy krzywizny powierzchni, analiza gładkości (tzw. zebra). Uwarunkowania technologiczne zastosowania gięcie krawędziowego, tłoczenia, ciągnienia, wykrawania. Narzędzia stosowane w procesach plastycznego kształtowania elementów cienkościennych. Metodyka modelowania na arkuszach blach oraz wykonywania ich rozwinięć w parametrycznych systemach 3D CAD.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sprawdzian pisemny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Kiciak P.: Podstawy modelowania krzywych i powierzchni, WNT2005; Sińczak J.: Podstawy procesów przeróbki plastycznej, WN Akapit, Kraków 2010; Romanowski W.P.: Tłoczenie na zimno, Poradnik.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1150-MB000-ISP-0413_W1: </w:t>
      </w:r>
    </w:p>
    <w:p>
      <w:pPr/>
      <w:r>
        <w:rPr/>
        <w:t xml:space="preserve">Posiada wiedzę o modelowaniu elementów cienkościennych, technologii ich kształtowania oraz uwarunkowań technologiczno-konstrukcyjnych wytwarzanych obiektów przeróbką plastyczną na zimno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KMiBM_W19, KMiBM_W17, KMiBM_W18, KMiBM_W20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T1A_W02, T1A_W03, T1A_W06, InzA_W02, InzA_W05, T1A_W02, T1A_W03, T1A_W07, T1A_W02, T1A_W03, T1A_W08</w:t>
      </w:r>
    </w:p>
    <w:p>
      <w:pPr>
        <w:keepNext w:val="1"/>
        <w:spacing w:after="10"/>
      </w:pPr>
      <w:r>
        <w:rPr>
          <w:b/>
          <w:bCs/>
        </w:rPr>
        <w:t xml:space="preserve">Efekt 1150-MB000-ISP-0413_W2: </w:t>
      </w:r>
    </w:p>
    <w:p>
      <w:pPr/>
      <w:r>
        <w:rPr/>
        <w:t xml:space="preserve">Ma uporządkowaną, podbudowaną teoretycznie wiedzę ogólną obejmującą modelowanie powierzchniowe i kształtowanie elementów na drodze przeróbki plastycznej na zimno.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KMiBM_W19, KMiBM_W17, KMiBM_W18, KMiBM_W20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T1A_W02, T1A_W03, T1A_W06, InzA_W02, InzA_W05, T1A_W02, T1A_W03, T1A_W07, T1A_W02, T1A_W03,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1150-MB000-ISP-0413_U1: </w:t>
      </w:r>
    </w:p>
    <w:p>
      <w:pPr/>
      <w:r>
        <w:rPr/>
        <w:t xml:space="preserve">Potrafi samodzielnie zamodelować i zaprojektować w środowiskach systemów CAD  cienkościenne elementy konstrukcyjne.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KMiBM_U05, KMiBM_U06, KMiBM_U07, KMiBM_U08, KMiBM_U14, KMiBM_U18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InzA_U06, T1A_U11, T1A_U16, InzA_U08, T1A_U01, T1A_U16, T1A_U10, T1A_U15, T1A_U16, InzA_U03, InzA_U04, InzA_U07, InzA_U08, T1A_U12, T1A_U14, T1A_U16, InzA_U04, T1A_U10, T1A_U13,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1150-MB000-ISP-0413_K1: </w:t>
      </w:r>
    </w:p>
    <w:p>
      <w:pPr/>
      <w:r>
        <w:rPr/>
        <w:t xml:space="preserve">Potrafi odpowiednio określić priorytety służące realizacji określonego przez siebie lub innych zadania. Ma świadomość odpowiedzialności za przyjęte rozwiązanie konstrukcyjne i technologiczne.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sposobu podejścia do modelowania i projektowania w aspekcie społecznym, ekonomicznym i bezpieczeństwa użytkowania.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2024-05-06T16:08:37+02:00</dcterms:created>
  <dcterms:modified xsi:type="dcterms:W3CDTF">2024-05-06T16:08:37+02:00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