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komputerowe w konstrukcji nadwozi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Jarosław Seńko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1150-MBMPO-ISP-0321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- 48, w tym:
a) wykład – 30 godz.;
b) laboratorium – 15 godz.;
c) konsultacje – 1 godz.;
d) egzamin – 2 godz.;
2) Praca własna studenta -  55 godzin, w tym:
a)	 10 godz. – bieżące przygotowywanie się studenta do wykładu;
b)	 10 godz. – studia literaturowe;
c)	 10 godz. – przygotowywanie się studenta do egzaminu;
d)	 15 godz. – przygotowywanie się studenta do ćwiczeń;
e)	 10 godz. – wykonanie prac domowych.
3) RAZEM – 103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 punkty ECTS – liczba godzin kontaktowych - 48, w tym:
a) wykład – 30 godz.;
b) laboratorium – 15 godz.;
c) konsultacje – 1 godz.;
d) egzamin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2 punkty ECTS – 40 godz., w tym:
1) ćwiczenia laboratoryjne – 15 godz.;
2) 15 godz. – przygotowywanie się do ćwiczeń laboratoryjnych;
3) 10 godz. – wykonanie prac domowych.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grafiki inżynierskiej, podstaw konstrukcji maszyn i modelowania geometrycznego (wysłuchanie wykładów: Podstawy zapisu konstrukcji, PKM i Modelowanie geometryczne)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praktycznego wykorzystania systemów komputerowych w procesie projektowania i konstruowania nadwozi. Umiejętność doboru metodyki wykorzystania systemów komputerowych do realizacji postawionego zadania projektowego.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Omówienie i klasyfikacja zintegrowanych systemów projektowania w budowie nadwozi pojazdów. Określenie zasad budowy modeli geometrycznych. Bryłowe modele geometryczne w projektowaniu nadwozi. Metodyka budowy modeli powierzchniowych. Zasady projektowania powierzchni klasy A. Podstawy ergonomii z wykorzystaniem zintegrowanych systemów projektowania. Zastosowanie metod komputerowych dla opracowania koncepcji rodzin nadwozi pojazdów. Zasady projektowania węzłów konstrukcyjnych nadwozi. Metody symulacyjnych badania drgań i hałasu struktury nadwozia. Metody symulacyjnych badania aerodynamiki pojazdu. Metody modelowania zderzenia pojazdu z przeszkodą. Wyznaczenia obciążeń dynamicznych nadwozia pochodzących od drogi.
Laboratorium. Wyznaczanie mas i momentów bezwładności w systemach CAx. Badania symulacyjne trajektorii ruchu podzespołów pojazdów. Badania symulacyjne kinematyki mechanizmów nadwozi. Symulacyjne badania dynamiki pionowej pojazdów. Symulacyjne badania oporu aerodynamicznego pojazdów.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pisemnego egzaminu.
Laboratorium:
Przed rozpoczęciem ćwiczenia przeprowadzany jest ustny/pisemny krótki sprawdzian wiedzy weryfikujący przygotowanie studentów  do ćwiczeń (tzw. „wejściówka”). Każde ćwiczenie jest zaliczane na podstawie poprawnie wykonanego zadania, przyjętego i ocenionego przez prowadzącego dane ćwiczenie.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Anderl R. Binde P.: Simulationen mit NX: Kinematik, FEM, CFD, EM und Datenmanagement. Mit zahlreichen Beispielen für NX 9. Carl Hanser Verlag GmbH &amp; Co. KG; 2014.
2.	Macey S., Wardle G.: H-Point: The Fundamentals of Car Design &amp; Packaging. Designstudio Pr ;2014.
3.	Kiciak P.: Podstawy modelowania krzywych i powierzchni. Warszawa: WNT 2005.
4.	Piechna J.: Podstawy aerodynamiki pojazdów. Warszawa: WKŁ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1150-MBMPO-ISP-0321_W1: </w:t>
      </w:r>
    </w:p>
    <w:p>
      <w:pPr/>
      <w:r>
        <w:rPr/>
        <w:t xml:space="preserve">Posiada wiedzę o kryteriach projektowania widzialnych powierzchni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1150-MBMPO-ISP-0321_W2: </w:t>
      </w:r>
    </w:p>
    <w:p>
      <w:pPr/>
      <w:r>
        <w:rPr/>
        <w:t xml:space="preserve">Ma uporządkowaną wiedzę dotyczącą modelowania geometrycznego powierzchni widzialnych nadwozi.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1150-MBMPO-ISP-0321_W3: </w:t>
      </w:r>
    </w:p>
    <w:p>
      <w:pPr/>
      <w:r>
        <w:rPr/>
        <w:t xml:space="preserve">Zna podstawowe metody powierzchniowego i bryłowego modelowania geometrycznego konstrukcji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1150-MBMPO-ISP-0321_W4: </w:t>
      </w:r>
    </w:p>
    <w:p>
      <w:pPr/>
      <w:r>
        <w:rPr/>
        <w:t xml:space="preserve">Posiada wiedzę o inżynierskich systemach komputerowych wykorzystywanych do rozmieszczenia w nadwoziu komponentów pojazdu.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1150-MBMPO-ISP-0321_W5: </w:t>
      </w:r>
    </w:p>
    <w:p>
      <w:pPr/>
      <w:r>
        <w:rPr/>
        <w:t xml:space="preserve">Posiada wiedzę o inżynierskich systemach komputerowych wykorzystywanych do oszacowania obciążeń nadwozi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T1A_W03, T1A_W06, InzA_W02, InzA_W05, T1A_W02, T1A_W03, T1A_W07, T1A_W02,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1150-MBMPO-ISP-0321_U1: </w:t>
      </w:r>
    </w:p>
    <w:p>
      <w:pPr/>
      <w:r>
        <w:rPr/>
        <w:t xml:space="preserve">Potrafi sformułować stosowne kryteria projektowe dla danego etapu projektowania nadwozia.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1150-MBMPO-ISP-0321_U2: </w:t>
      </w:r>
    </w:p>
    <w:p>
      <w:pPr/>
      <w:r>
        <w:rPr/>
        <w:t xml:space="preserve">Potrafi wyznaczyć obciążenia projektowe dla węzłów konstrukcyjnych nadwozia.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keepNext w:val="1"/>
        <w:spacing w:after="10"/>
      </w:pPr>
      <w:r>
        <w:rPr>
          <w:b/>
          <w:bCs/>
        </w:rPr>
        <w:t xml:space="preserve">Efekt 1150-MBMPO-ISP-0321_U3: </w:t>
      </w:r>
    </w:p>
    <w:p>
      <w:pPr/>
      <w:r>
        <w:rPr/>
        <w:t xml:space="preserve">Potrafi dobrać parametry powierzchni widzialnych nadwozia, spełniające oczekiwania względem jakości powierzchni.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1150-MBMPO-ISP-0321_K1: </w:t>
      </w:r>
    </w:p>
    <w:p>
      <w:pPr/>
      <w:r>
        <w:rPr/>
        <w:t xml:space="preserve">Potrafi współdziałać i pracować w grupie przy realizacji ćwiczeń laboratoryjnych,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2025-05-12T03:35:02+02:00</dcterms:created>
  <dcterms:modified xsi:type="dcterms:W3CDTF">2025-05-12T03:35:02+02:00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