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Elementy robotyki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Jan Szlagowski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1150-MB000-ISP-322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- 48, w tym
a) wykład - 30 godz.;
b) laboratorium  - 15 godz.;
c) konsultacje - 3 godz.
 2) Praca własna studenta -  65 godzin, w tym:
a) 10 godz. – bieżące przygotowywanie się studenta do wykładu;
b) 10 godz. – studia literaturowe;
c) 15 godz. – przygotowywanie się studenta do ćwiczeń;
d) 20 godz. – wykonanie sprawozdań.
3) RAZEM – 101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punkty ECTS – liczba godzin kontaktowych - 48, w tym:
a) wykład - 30 godz.;
b) laboratorium  - 15 godz.;
c) konsultacje - 3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punkty ECTS – 50 godz., w tym:
1) ćwiczenia laboratoryjne – 15 godz.;
2) 15 godz. – przygotowywanie się do ćwiczeń laboratoryjnych;
3) 20 godz. – opracowanie wyników, przygotowanie sprawozdań.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Podstawowa wiedza z mechaniki ogólnej, podstaw konstrukcji maszyn.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przeznaczenia, celu i zasad działania robotów.
Nabycie umiejętności opisu pracy robota.
Rozwiniecie świadomość celu i możliwości wykorzystania robotów.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
1.	Pojęcia podstawowe robotyki. 
2.	Przeznaczenie i klasyfikacja robotów. 
3.	Wprowadzenie do analizy kinematyki ruchów robotów szeregowych
4.	Analiza kinematyki robotów (opis położenia manipulatora, równania ruchu manipulatora w różnych układach współrzędnych, określenie obszarów pracy, roboczych, manipulacyjnych, granicznych).
5.	Wprowadzenie do analizy kinematyki robotów równoległych
6.	Przegląd rozwiązań i analiza problemów kinematyki i trakcyjności robotów mobilnych
7.	Wprowadzenie do analizy dynamicznej układów robotów
8.	Analiza dynamiki robotów szeregowych, równoległych, 
9.	Analiza dynamiki robotów mobilnych
10.	Elementy i struktura napędów: pneumatycznych, hydraulicznych, elektrycznych ( problemy przekazywania napędów i energetyczne, dynamika robotów mobilnych. 
11.	Struktura i budowa układów regulacji napędów: pneumatycznych, hydraulicznych, elektrycznych.
12.	Struktura układów sensoryki – układy pomiarowe, sensory, układy sensorów sprzężenia zwrotnego. 
13.	Budowa sterowników i regulatorów napędów robotów. Omówienie metod budowy regulatorów i programowania robotów.
14.	Zasady planowania pracy i programowania robotów.
Laboratorium:
1.	Programowanie PLC.
2.	Zastosowanie PLC do automatycznego sterowania w układach hydraulicznych.   
3.	Dydaktyczny Model Manipulatora.
4.	Układy regulacji ‐ dobór parametrów.
regulatora i charakterystyki częstotliwościowe układów dynamicznych
5.	Interfejs operatora maszyny roboczej.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zaliczany jest na podstawie kolokwium i pracy domowej –projekt koncepcyjny układu robotycznego .
Laboratorium:
Przed rozpoczęciem ćwiczenia przeprowadzany jest krótki sprawdzian ustny/pisemny wiedzy weryfikujący przygotowanie studentów (tzw. „wejściówka”). Każde ćwiczenie jest zaliczane na podstawie poprawnie wykonanego sprawozdania, przyjętego i ocenionego przez prowadzącego dane ćwiczenia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A. Morecki ;Józef Knapczyk Wprowadzenie do Robotyki.
2.	A. Morecki ;Józef Knapczyk,k. Kędzior Teoria mechanizmów i manipulatorów.
3.	Wojciech K. Klimasara Zbigniew Piła: „Podstawy automatyki i robotyki”.
4.	Jan Żurek „Podstawy Robotyki – laboratorium”.
5.	Jerzy Honczarenko – Roboty przemysłowe.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1150-MB000-ISP-322_W1: </w:t>
      </w:r>
    </w:p>
    <w:p>
      <w:pPr/>
      <w:r>
        <w:rPr/>
        <w:t xml:space="preserve">Posiada wiedzę o zastosowaniu robotów i potrafi zdefiniować zakres ruchów i czynności robota.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KMiBM_W19, KMiBM_W17, KMiBM_W18, KMiBM_W20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T1A_W02, T1A_W03, T1A_W06, InzA_W02, InzA_W05, T1A_W02, T1A_W03, T1A_W07, T1A_W02, T1A_W03, T1A_W08</w:t>
      </w:r>
    </w:p>
    <w:p>
      <w:pPr>
        <w:keepNext w:val="1"/>
        <w:spacing w:after="10"/>
      </w:pPr>
      <w:r>
        <w:rPr>
          <w:b/>
          <w:bCs/>
        </w:rPr>
        <w:t xml:space="preserve">Efekt 1150-MB000-ISP-322_W2: </w:t>
      </w:r>
    </w:p>
    <w:p>
      <w:pPr/>
      <w:r>
        <w:rPr/>
        <w:t xml:space="preserve">Ma uporządkowaną, podbudowaną teoretycznie wiedzę ogólną obejmującą kluczowe zagadnienia z zakresu opisu kinematyki robotów. właściwości, budowy i optymalizacji pracy robotów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domowa- opis koncepcji rozwiązania zadania robotycznego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KMiBM_W19, KMiBM_W17, KMiBM_W18, KMiBM_W20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T1A_W02, T1A_W03, T1A_W06, InzA_W02, InzA_W05, T1A_W02, T1A_W03, T1A_W07, T1A_W02, T1A_W03, T1A_W08</w:t>
      </w:r>
    </w:p>
    <w:p>
      <w:pPr>
        <w:keepNext w:val="1"/>
        <w:spacing w:after="10"/>
      </w:pPr>
      <w:r>
        <w:rPr>
          <w:b/>
          <w:bCs/>
        </w:rPr>
        <w:t xml:space="preserve">Efekt 1150-MB000-ISP-322_W3: </w:t>
      </w:r>
    </w:p>
    <w:p>
      <w:pPr/>
      <w:r>
        <w:rPr/>
        <w:t xml:space="preserve">Ma uporządkowaną, podbudowaną teoretycznie wiedzę ogólną obejmującą kluczowe zagadnienia z zakresu opisu kinematyki robotów. właściwości, budowy i programowania robotów.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 Ustny sprawdzian przed dopuszczeniem do wykonywania ćwiczeń, ocena sprawozdań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KMiBM_W19, KMiBM_W17, KMiBM_W18, KMiBM_W20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T1A_W02, T1A_W03, T1A_W06, InzA_W02, InzA_W05, T1A_W02, T1A_W03, T1A_W07, T1A_W02, T1A_W03, 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1150-MB000-ISP-322_U1: </w:t>
      </w:r>
    </w:p>
    <w:p>
      <w:pPr/>
      <w:r>
        <w:rPr/>
        <w:t xml:space="preserve">Potrafi przeprowadzić podstawowe obliczenia zespołów układu kinematycznego robota oraz obciążenia dynamiczne.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KMiBM_U15, KMiBM_U16, KMiBM_U17, KMiBM_U18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T1A_U11, T1A_U12, InzA_U06, InzA_U08, T1A_U08, T1A_U09, T1A_U10, T1A_U08, T1A_U09, T1A_U15, T1A_U10, T1A_U13, T1A_U16</w:t>
      </w:r>
    </w:p>
    <w:p>
      <w:pPr>
        <w:keepNext w:val="1"/>
        <w:spacing w:after="10"/>
      </w:pPr>
      <w:r>
        <w:rPr>
          <w:b/>
          <w:bCs/>
        </w:rPr>
        <w:t xml:space="preserve">Efekt 1150-MB000-ISP-322_U2: </w:t>
      </w:r>
    </w:p>
    <w:p>
      <w:pPr/>
      <w:r>
        <w:rPr/>
        <w:t xml:space="preserve">Potrafi zdefiniować problemy do rozwiązania w zadaniu robotycznym. Umie zaprojektować ruchy członów robota.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domowa. Z ustnym przedstawieniem wykonanego zadania.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KMiBM_U15, KMiBM_U16, KMiBM_U17, KMiBM_U18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T1A_U11, T1A_U12, InzA_U06, InzA_U08, T1A_U08, T1A_U09, T1A_U10, T1A_U08, T1A_U09, T1A_U15, T1A_U10, T1A_U13, T1A_U16</w:t>
      </w:r>
    </w:p>
    <w:p>
      <w:pPr>
        <w:keepNext w:val="1"/>
        <w:spacing w:after="10"/>
      </w:pPr>
      <w:r>
        <w:rPr>
          <w:b/>
          <w:bCs/>
        </w:rPr>
        <w:t xml:space="preserve">Efekt 1150-MB000-ISP-322_U3: </w:t>
      </w:r>
    </w:p>
    <w:p>
      <w:pPr/>
      <w:r>
        <w:rPr/>
        <w:t xml:space="preserve">Potrafi zaprogramować układ PLC, i interfejs człowiek maszyna.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przed dopuszczeniem do wykonywania ćwiczeń, ocena sprawozdań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KMiBM_U15, KMiBM_U16, KMiBM_U17, KMiBM_U18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T1A_U11, T1A_U12, InzA_U06, InzA_U08, T1A_U08, T1A_U09, T1A_U10, T1A_U08, T1A_U09, T1A_U15, T1A_U10, T1A_U13, T1A_U16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2025-06-25T21:13:58+02:00</dcterms:created>
  <dcterms:modified xsi:type="dcterms:W3CDTF">2025-06-25T21:13:58+02:00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