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 inż. Robert Zalewski,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50, w tym
a) wykład – 30 godz.;
b) projektowanie - 15 godz.
b) konsultacje - 5 godz.;
2) Praca własna studenta  50, w tym
a) 20 godz. – studia literaturowe;
b) 30 godz. – przygotowywanie się studenta do terminowych zaliczeń;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;  50 godz., w tym:
a) wykład -30 godz.;
b) projektowanie - 15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ECTS; zajęcia projektowe;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4 indywidualnie przygotowane zadania, za które może uzyskać łącznie 50 małych punktów (ocena dostateczna to minimum 25 pkt).
Przewidziane są trzy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H. Koczyk: Geometria Wykreślna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1150-MB000-ISP-0106_W1: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Ma wiedzę dotyczącą przedstawiania i wymiarowania łączników i połączeń rozłącznych i nierozłącznych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umie stosować znormalizowane zasady kreskowania przekrojów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1150-MB000-ISP-0106_U2: </w:t>
      </w:r>
    </w:p>
    <w:p>
      <w:pPr/>
      <w:r>
        <w:rPr/>
        <w:t xml:space="preserve">Umie rysować i wymiarować proste 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1150-MB000-ISP-0106_U3: </w:t>
      </w:r>
    </w:p>
    <w:p>
      <w:pPr/>
      <w:r>
        <w:rPr/>
        <w:t xml:space="preserve">Umie przedstawiać i wymiarować łączniki i połączenia rozłączne i nierozłączne.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2024-04-28T21:29:49+02:00</dcterms:created>
  <dcterms:modified xsi:type="dcterms:W3CDTF">2024-04-28T21:29:49+02:00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