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1150-MB00-ISP-0206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ćwiczenia - 15 godz.;
2) Praca własna studenta – 45 godz., w tym:
a)  10 godz. – bieżące przygotowywanie się studenta do ćwiczeń, studia literaturowe,
b)  10 godz. – bieżące przygotowywanie materiałów dot. wykładów, studia literaturowe,
c)     15 godz. – przygotowywanie się studenta do 2 kolokwiów z wykładów,
d)     10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punkta ECTS – liczba godzin kontaktowych - 45, w tym:
a) wykład - 30 godz.;
b)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
</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1150-MB00-ISP-0206_W01: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1150-MB00-ISP-0206_W02: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1150-MB00-ISP-0206_W04: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1150-MB00-ISP-0206_U01: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1150-MB00-ISP-0206_U02: </w:t>
      </w:r>
    </w:p>
    <w:p>
      <w:pPr/>
      <w:r>
        <w:rPr/>
        <w:t xml:space="preserve">Nabył umiejętność samodzielnego pozyskiwania wiedzy w zakresie zagadnień hydraulicznych.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KMiBM_U24</w:t>
      </w:r>
    </w:p>
    <w:p>
      <w:pPr>
        <w:spacing w:before="20" w:after="190"/>
      </w:pPr>
      <w:r>
        <w:rPr>
          <w:b/>
          <w:bCs/>
        </w:rPr>
        <w:t xml:space="preserve">Powiązane efekty obszarowe: </w:t>
      </w:r>
      <w:r>
        <w:rPr/>
        <w:t xml:space="preserve">T1A_U05</w:t>
      </w:r>
    </w:p>
    <w:p>
      <w:pPr>
        <w:keepNext w:val="1"/>
        <w:spacing w:after="10"/>
      </w:pPr>
      <w:r>
        <w:rPr>
          <w:b/>
          <w:bCs/>
        </w:rPr>
        <w:t xml:space="preserve">Efekt 1150-MB000-ISP-0188_U4: </w:t>
      </w:r>
    </w:p>
    <w:p>
      <w:pPr/>
      <w:r>
        <w:rPr/>
        <w:t xml:space="preserve">Student potrafi redukować dowolny przestrzenny układ sił do skrętnika.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1150-MB000-ISP-0188_U5: </w:t>
      </w:r>
    </w:p>
    <w:p>
      <w:pPr/>
      <w:r>
        <w:rPr/>
        <w:t xml:space="preserve">Student potrafi obliczać reakcje podpór statycznie wyznaczalnych układów mechanicznych płaskich i przestrzennych.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1150-MB000-ISP-0188_U6: </w:t>
      </w:r>
    </w:p>
    <w:p>
      <w:pPr/>
      <w:r>
        <w:rPr/>
        <w:t xml:space="preserve">Student potrafi rozwiązywać zdania statyki układów z uwzględnieniem tarcia.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1150-MB000-ISP-0188_U7: </w:t>
      </w:r>
    </w:p>
    <w:p>
      <w:pPr/>
      <w:r>
        <w:rPr/>
        <w:t xml:space="preserve">Student umie wyznaczać prędkość i przyspieszenie punktu materialnego w układach: kartezjańskim, biegunowym i w układzie kierunków naturalnych.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1150-MB000-ISP-0188_U8: </w:t>
      </w:r>
    </w:p>
    <w:p>
      <w:pPr/>
      <w:r>
        <w:rPr/>
        <w:t xml:space="preserve">Student potrafi rozwiązywać zadania rzutów punktu materialnego w jednorodnym polu grawitacyjnym z oporami ruchu oraz rzutu pionowego w polu niejednorodnym.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1150-MB000-ISP-0188_U9: </w:t>
      </w:r>
    </w:p>
    <w:p>
      <w:pPr/>
      <w:r>
        <w:rPr/>
        <w:t xml:space="preserve">Student umie stosować w zadaniach prawo zachowania energii mechanicznej w przypadku punktu materialnego i układu punktów materialnych.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1150-MB000-ISP-0188_U10: </w:t>
      </w:r>
    </w:p>
    <w:p>
      <w:pPr/>
      <w:r>
        <w:rPr/>
        <w:t xml:space="preserve">Student potrafi zdobywać informacje dotyczące treści przedmiotu z literatury i baz internetowych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T2A_U01, T2A_U02, T2A_U07, InzA_U05</w:t>
      </w:r>
    </w:p>
    <w:p>
      <w:pPr>
        <w:pStyle w:val="Heading3"/>
      </w:pPr>
      <w:bookmarkStart w:id="4" w:name="_Toc4"/>
      <w:r>
        <w:t>Profil ogólnoakademicki - kompetencje społeczne</w:t>
      </w:r>
      <w:bookmarkEnd w:id="4"/>
    </w:p>
    <w:p>
      <w:pPr>
        <w:keepNext w:val="1"/>
        <w:spacing w:after="10"/>
      </w:pPr>
      <w:r>
        <w:rPr>
          <w:b/>
          <w:bCs/>
        </w:rPr>
        <w:t xml:space="preserve">Efekt 1150-MB00-ISP-0206_K01: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2024-05-01T10:35:59+02:00</dcterms:created>
  <dcterms:modified xsi:type="dcterms:W3CDTF">2024-05-01T10:35:59+02:00</dcterms:modified>
</cp:coreProperties>
</file>

<file path=docProps/custom.xml><?xml version="1.0" encoding="utf-8"?>
<Properties xmlns="http://schemas.openxmlformats.org/officeDocument/2006/custom-properties" xmlns:vt="http://schemas.openxmlformats.org/officeDocument/2006/docPropsVTypes"/>
</file>