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laboratoria - 15 godz.,
c) konsultacje - 5 godz.,
2. Praca własna - 20 godz,  praca nad projektami domowymi.</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laboratoria - 15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godzin, w tym:
a) praca nad projektami domowymi - 20 godz.,  
b) laboratoria - 15 godz.,
c)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algorytmu,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2.Gutowski, R. 1971. Analytical mechanics, Warsaw: PWN (in Polish) lub Mechanika analityczna.
3.Jarzębowska, E. Mechanika analitczna, skrypt PW, oficyna wydawnicza PW, 2003.
4.Kane, T.R. and D. L. Levinson. 1996. The Use of Kane’s Dynamical Equations in Robotics. Int. J. Robot. Res. 2(3):3-21.
5.Kwatny, H.G. and G.L. Blankenship. 2000. Nonlinear control and analytical mechanics, a computational approach. Boston: Birkhauser.
6.Lewis, F.L., C. T. Abdallah and D. M. Dawson. 1996. Control of robot manipulators. New York: Macmillan Publ. Comp.
7.Murray, R.M., Z.X. Li, and S.S. Sastry. 1994. A mathematical introduction to robotic manipulation. Boca Raton, Florida: CRC Press.
 8.Pars, L.A. 1965. Treatise of analytical dynamics. London: W. Heinemann, Ltd.
9. Spong, M.W. and M. Vidyasagar. 1989. Robot control and dynamics. New York: Wiley.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charakterystyki kierunkowe: </w:t>
      </w:r>
      <w:r>
        <w:rPr/>
        <w:t xml:space="preserve">MiBM2_U13, MiBM2_U22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charakterystyki kierunkowe: </w:t>
      </w:r>
      <w:r>
        <w:rPr/>
        <w:t xml:space="preserve">MBiM2_K01, MBiM2_K06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2024-05-06T03:34:35+02:00</dcterms:created>
  <dcterms:modified xsi:type="dcterms:W3CDTF">2024-05-06T03:34:35+02:00</dcterms:modified>
</cp:coreProperties>
</file>

<file path=docProps/custom.xml><?xml version="1.0" encoding="utf-8"?>
<Properties xmlns="http://schemas.openxmlformats.org/officeDocument/2006/custom-properties" xmlns:vt="http://schemas.openxmlformats.org/officeDocument/2006/docPropsVTypes"/>
</file>